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330" w:rsidRPr="00E97923" w:rsidRDefault="001D6330" w:rsidP="001D6330">
      <w:pPr>
        <w:rPr>
          <w:rFonts w:ascii="Calibri" w:hAnsi="Calibri" w:cs="Calibri"/>
          <w:sz w:val="20"/>
          <w:szCs w:val="20"/>
        </w:rPr>
      </w:pPr>
      <w:bookmarkStart w:id="0" w:name="_GoBack"/>
      <w:bookmarkEnd w:id="0"/>
      <w:r w:rsidRPr="00E97923">
        <w:rPr>
          <w:rFonts w:ascii="Calibri" w:hAnsi="Calibri" w:cs="Calibri"/>
          <w:sz w:val="20"/>
          <w:szCs w:val="20"/>
        </w:rPr>
        <w:t>Znak sprawy: ZZP.261.23.2018</w:t>
      </w:r>
      <w:r w:rsidRPr="00E97923">
        <w:rPr>
          <w:rFonts w:ascii="Calibri" w:hAnsi="Calibri" w:cs="Calibri"/>
          <w:sz w:val="20"/>
          <w:szCs w:val="20"/>
        </w:rPr>
        <w:tab/>
      </w:r>
      <w:r w:rsidRPr="00E97923">
        <w:rPr>
          <w:rFonts w:ascii="Calibri" w:hAnsi="Calibri" w:cs="Calibri"/>
          <w:sz w:val="20"/>
          <w:szCs w:val="20"/>
        </w:rPr>
        <w:tab/>
        <w:t xml:space="preserve">   </w:t>
      </w:r>
      <w:r w:rsidRPr="00E97923">
        <w:rPr>
          <w:rFonts w:ascii="Calibri" w:hAnsi="Calibri" w:cs="Calibri"/>
          <w:sz w:val="20"/>
          <w:szCs w:val="20"/>
        </w:rPr>
        <w:tab/>
        <w:t xml:space="preserve">                              </w:t>
      </w:r>
      <w:r w:rsidR="004B7515">
        <w:rPr>
          <w:rFonts w:ascii="Calibri" w:hAnsi="Calibri" w:cs="Calibri"/>
          <w:sz w:val="20"/>
          <w:szCs w:val="20"/>
        </w:rPr>
        <w:tab/>
      </w:r>
      <w:r w:rsidR="004B7515">
        <w:rPr>
          <w:rFonts w:ascii="Calibri" w:hAnsi="Calibri" w:cs="Calibri"/>
          <w:sz w:val="20"/>
          <w:szCs w:val="20"/>
        </w:rPr>
        <w:tab/>
      </w:r>
      <w:r w:rsidRPr="00E97923">
        <w:rPr>
          <w:rFonts w:ascii="Calibri" w:hAnsi="Calibri" w:cs="Calibri"/>
          <w:sz w:val="20"/>
          <w:szCs w:val="20"/>
        </w:rPr>
        <w:tab/>
        <w:t>załącznik nr 1f do SIWZ</w:t>
      </w:r>
    </w:p>
    <w:p w:rsidR="001D6330" w:rsidRPr="00E97923" w:rsidRDefault="001D6330" w:rsidP="001D6330">
      <w:pPr>
        <w:rPr>
          <w:rFonts w:ascii="Calibri" w:hAnsi="Calibri" w:cs="Calibri"/>
          <w:sz w:val="20"/>
          <w:szCs w:val="20"/>
        </w:rPr>
      </w:pPr>
    </w:p>
    <w:p w:rsidR="001D6330" w:rsidRPr="00E97923" w:rsidRDefault="00E47221" w:rsidP="001D6330">
      <w:pPr>
        <w:jc w:val="center"/>
        <w:rPr>
          <w:rFonts w:ascii="Calibri" w:hAnsi="Calibri" w:cs="Calibri"/>
          <w:sz w:val="20"/>
          <w:szCs w:val="20"/>
        </w:rPr>
      </w:pPr>
      <w:r>
        <w:rPr>
          <w:rFonts w:ascii="Calibri" w:hAnsi="Calibri" w:cs="Calibri"/>
          <w:sz w:val="20"/>
          <w:szCs w:val="20"/>
        </w:rPr>
        <w:t xml:space="preserve">ZMIENIONY </w:t>
      </w:r>
      <w:r w:rsidR="001D6330" w:rsidRPr="00E97923">
        <w:rPr>
          <w:rFonts w:ascii="Calibri" w:hAnsi="Calibri" w:cs="Calibri"/>
          <w:sz w:val="20"/>
          <w:szCs w:val="20"/>
        </w:rPr>
        <w:t>OPIS PRZEDMIOTU ZAMÓWIENIA</w:t>
      </w:r>
    </w:p>
    <w:p w:rsidR="00FC682F" w:rsidRPr="00E97923" w:rsidRDefault="00FC682F" w:rsidP="006B1464">
      <w:pPr>
        <w:jc w:val="center"/>
        <w:rPr>
          <w:rFonts w:ascii="Calibri" w:hAnsi="Calibri" w:cs="Calibri"/>
          <w:b/>
          <w:sz w:val="20"/>
          <w:szCs w:val="20"/>
        </w:rPr>
      </w:pPr>
    </w:p>
    <w:p w:rsidR="00843219" w:rsidRPr="006B1464" w:rsidRDefault="00843219" w:rsidP="006B1464">
      <w:pPr>
        <w:jc w:val="center"/>
        <w:rPr>
          <w:rFonts w:ascii="Calibri" w:hAnsi="Calibri" w:cs="Calibri"/>
          <w:b/>
        </w:rPr>
      </w:pPr>
      <w:r w:rsidRPr="006B1464">
        <w:rPr>
          <w:rFonts w:ascii="Calibri" w:hAnsi="Calibri" w:cs="Calibri"/>
          <w:b/>
        </w:rPr>
        <w:t xml:space="preserve">Zadanie </w:t>
      </w:r>
      <w:r w:rsidR="00B961C0" w:rsidRPr="006B1464">
        <w:rPr>
          <w:rFonts w:ascii="Calibri" w:hAnsi="Calibri" w:cs="Calibri"/>
          <w:b/>
        </w:rPr>
        <w:t>6</w:t>
      </w:r>
      <w:r w:rsidRPr="006B1464">
        <w:rPr>
          <w:rFonts w:ascii="Calibri" w:hAnsi="Calibri" w:cs="Calibri"/>
          <w:b/>
        </w:rPr>
        <w:t xml:space="preserve"> – Zakup oprogramowania</w:t>
      </w:r>
    </w:p>
    <w:p w:rsidR="00F76C29" w:rsidRPr="00E97923" w:rsidRDefault="001D6330" w:rsidP="001D6330">
      <w:pPr>
        <w:rPr>
          <w:rFonts w:ascii="Calibri" w:hAnsi="Calibri" w:cs="Calibri"/>
          <w:b/>
          <w:sz w:val="20"/>
          <w:szCs w:val="20"/>
        </w:rPr>
      </w:pPr>
      <w:r w:rsidRPr="00E97923">
        <w:rPr>
          <w:rFonts w:ascii="Calibri" w:hAnsi="Calibri" w:cs="Calibri"/>
          <w:b/>
          <w:sz w:val="20"/>
          <w:szCs w:val="20"/>
        </w:rPr>
        <w:t xml:space="preserve">Poz. 1 - </w:t>
      </w:r>
      <w:r w:rsidR="00843219" w:rsidRPr="00E97923">
        <w:rPr>
          <w:rFonts w:ascii="Calibri" w:hAnsi="Calibri" w:cs="Calibri"/>
          <w:b/>
          <w:sz w:val="20"/>
          <w:szCs w:val="20"/>
        </w:rPr>
        <w:t>Microsoft Office 365 Business lub równoważn</w:t>
      </w:r>
      <w:r w:rsidR="003F2555" w:rsidRPr="00E97923">
        <w:rPr>
          <w:rFonts w:ascii="Calibri" w:hAnsi="Calibri" w:cs="Calibri"/>
          <w:b/>
          <w:sz w:val="20"/>
          <w:szCs w:val="20"/>
        </w:rPr>
        <w:t>y</w:t>
      </w:r>
    </w:p>
    <w:p w:rsidR="00F76C29" w:rsidRPr="00E97923" w:rsidRDefault="00843219" w:rsidP="001D6330">
      <w:pPr>
        <w:jc w:val="both"/>
        <w:rPr>
          <w:rFonts w:ascii="Calibri" w:hAnsi="Calibri" w:cs="Calibri"/>
          <w:sz w:val="20"/>
          <w:szCs w:val="20"/>
        </w:rPr>
      </w:pPr>
      <w:r w:rsidRPr="00E97923">
        <w:rPr>
          <w:rFonts w:ascii="Calibri" w:hAnsi="Calibri" w:cs="Calibri"/>
          <w:b/>
          <w:sz w:val="20"/>
          <w:szCs w:val="20"/>
        </w:rPr>
        <w:t>5 licencji na 12 miesięcy</w:t>
      </w:r>
      <w:r w:rsidR="00FC682F" w:rsidRPr="00E97923">
        <w:rPr>
          <w:rFonts w:ascii="Calibri" w:hAnsi="Calibri" w:cs="Calibri"/>
          <w:b/>
          <w:sz w:val="20"/>
          <w:szCs w:val="20"/>
        </w:rPr>
        <w:t>.</w:t>
      </w:r>
      <w:r w:rsidR="00FC682F" w:rsidRPr="00E97923">
        <w:rPr>
          <w:rFonts w:ascii="Calibri" w:hAnsi="Calibri" w:cs="Calibri"/>
          <w:sz w:val="20"/>
          <w:szCs w:val="20"/>
        </w:rPr>
        <w:t xml:space="preserve"> W ramach realizacji przedmiotowego zamówienia Wykonawca zapewni dostęp do spersonalizowanej strony Producenta ze zdefiniowanym Kontem Zakupowym dla Zamawiającego pozwalającym upoważnionym osobom ze strony Zamawiającego na: </w:t>
      </w:r>
    </w:p>
    <w:p w:rsidR="00F76C29" w:rsidRPr="00E97923" w:rsidRDefault="00FC682F">
      <w:pPr>
        <w:rPr>
          <w:rFonts w:ascii="Calibri" w:hAnsi="Calibri" w:cs="Calibri"/>
          <w:sz w:val="20"/>
          <w:szCs w:val="20"/>
        </w:rPr>
      </w:pPr>
      <w:r w:rsidRPr="00E97923">
        <w:rPr>
          <w:rFonts w:ascii="Calibri" w:hAnsi="Calibri" w:cs="Calibri"/>
          <w:sz w:val="20"/>
          <w:szCs w:val="20"/>
        </w:rPr>
        <w:t xml:space="preserve">a. Pobieranie kodu instalacyjnego zakupionego oprogramowania, </w:t>
      </w:r>
    </w:p>
    <w:p w:rsidR="00F76C29" w:rsidRPr="00E97923" w:rsidRDefault="00FC682F">
      <w:pPr>
        <w:rPr>
          <w:rFonts w:ascii="Calibri" w:hAnsi="Calibri" w:cs="Calibri"/>
          <w:sz w:val="20"/>
          <w:szCs w:val="20"/>
        </w:rPr>
      </w:pPr>
      <w:r w:rsidRPr="00E97923">
        <w:rPr>
          <w:rFonts w:ascii="Calibri" w:hAnsi="Calibri" w:cs="Calibri"/>
          <w:sz w:val="20"/>
          <w:szCs w:val="20"/>
        </w:rPr>
        <w:t xml:space="preserve">b. Pobierania kodów aktywacyjnych, </w:t>
      </w:r>
    </w:p>
    <w:p w:rsidR="00F76C29" w:rsidRPr="00E97923" w:rsidRDefault="00FC682F">
      <w:pPr>
        <w:rPr>
          <w:rFonts w:ascii="Calibri" w:hAnsi="Calibri" w:cs="Calibri"/>
          <w:sz w:val="20"/>
          <w:szCs w:val="20"/>
        </w:rPr>
      </w:pPr>
      <w:r w:rsidRPr="00E97923">
        <w:rPr>
          <w:rFonts w:ascii="Calibri" w:hAnsi="Calibri" w:cs="Calibri"/>
          <w:sz w:val="20"/>
          <w:szCs w:val="20"/>
        </w:rPr>
        <w:t xml:space="preserve">c. Sprawdzanie liczby aktywnych licencji w wykazie zakupionych produktów. </w:t>
      </w:r>
    </w:p>
    <w:p w:rsidR="00F76C29" w:rsidRPr="00E97923" w:rsidRDefault="00FC682F">
      <w:pPr>
        <w:rPr>
          <w:rFonts w:ascii="Calibri" w:hAnsi="Calibri" w:cs="Calibri"/>
          <w:sz w:val="20"/>
          <w:szCs w:val="20"/>
        </w:rPr>
      </w:pPr>
      <w:r w:rsidRPr="00E97923">
        <w:rPr>
          <w:rFonts w:ascii="Calibri" w:hAnsi="Calibri" w:cs="Calibri"/>
          <w:sz w:val="20"/>
          <w:szCs w:val="20"/>
        </w:rPr>
        <w:t xml:space="preserve">Konto Zakupowe Zamawiającego musi pozwalać na nadanie odpowiednich uprawnień wskazanym przedstawicielom tych jednostek. </w:t>
      </w:r>
    </w:p>
    <w:tbl>
      <w:tblPr>
        <w:tblStyle w:val="Tabela-Siatka"/>
        <w:tblW w:w="9351" w:type="dxa"/>
        <w:jc w:val="center"/>
        <w:tblLook w:val="04A0" w:firstRow="1" w:lastRow="0" w:firstColumn="1" w:lastColumn="0" w:noHBand="0" w:noVBand="1"/>
      </w:tblPr>
      <w:tblGrid>
        <w:gridCol w:w="567"/>
        <w:gridCol w:w="8784"/>
      </w:tblGrid>
      <w:tr w:rsidR="00F76C29" w:rsidRPr="00E97923" w:rsidTr="008F5C7A">
        <w:trPr>
          <w:trHeight w:val="484"/>
          <w:jc w:val="center"/>
        </w:trPr>
        <w:tc>
          <w:tcPr>
            <w:tcW w:w="567" w:type="dxa"/>
            <w:shd w:val="clear" w:color="auto" w:fill="BFBFBF" w:themeFill="background1" w:themeFillShade="BF"/>
            <w:vAlign w:val="center"/>
          </w:tcPr>
          <w:p w:rsidR="00F76C29" w:rsidRPr="00E97923" w:rsidRDefault="00FC682F">
            <w:pPr>
              <w:spacing w:after="0" w:line="240" w:lineRule="auto"/>
              <w:jc w:val="center"/>
              <w:rPr>
                <w:rFonts w:ascii="Calibri" w:hAnsi="Calibri" w:cs="Calibri"/>
                <w:b/>
                <w:bCs/>
                <w:sz w:val="20"/>
                <w:szCs w:val="20"/>
              </w:rPr>
            </w:pPr>
            <w:r w:rsidRPr="00E97923">
              <w:rPr>
                <w:rFonts w:ascii="Calibri" w:hAnsi="Calibri" w:cs="Calibri"/>
                <w:b/>
                <w:sz w:val="20"/>
                <w:szCs w:val="20"/>
              </w:rPr>
              <w:t>Lp.</w:t>
            </w:r>
          </w:p>
        </w:tc>
        <w:tc>
          <w:tcPr>
            <w:tcW w:w="8784" w:type="dxa"/>
            <w:shd w:val="clear" w:color="auto" w:fill="BFBFBF" w:themeFill="background1" w:themeFillShade="BF"/>
            <w:vAlign w:val="center"/>
          </w:tcPr>
          <w:p w:rsidR="00F76C29" w:rsidRPr="00E97923" w:rsidRDefault="00FC682F">
            <w:pPr>
              <w:pStyle w:val="Zawartotabeli"/>
              <w:spacing w:line="276" w:lineRule="auto"/>
              <w:jc w:val="center"/>
              <w:rPr>
                <w:rFonts w:ascii="Calibri" w:hAnsi="Calibri" w:cs="Calibri"/>
                <w:b/>
                <w:bCs/>
                <w:sz w:val="20"/>
                <w:szCs w:val="20"/>
              </w:rPr>
            </w:pPr>
            <w:r w:rsidRPr="00E97923">
              <w:rPr>
                <w:rFonts w:ascii="Calibri" w:hAnsi="Calibri" w:cs="Calibri"/>
                <w:b/>
                <w:bCs/>
                <w:sz w:val="20"/>
                <w:szCs w:val="20"/>
              </w:rPr>
              <w:t>Warunek równoważności</w:t>
            </w:r>
          </w:p>
        </w:tc>
      </w:tr>
      <w:tr w:rsidR="00F76C29" w:rsidRPr="00E97923" w:rsidTr="008F5C7A">
        <w:trPr>
          <w:jc w:val="center"/>
        </w:trPr>
        <w:tc>
          <w:tcPr>
            <w:tcW w:w="567" w:type="dxa"/>
            <w:shd w:val="clear" w:color="auto" w:fill="BFBFBF" w:themeFill="background1" w:themeFillShade="BF"/>
          </w:tcPr>
          <w:p w:rsidR="00F76C29" w:rsidRPr="00E97923" w:rsidRDefault="006C7943">
            <w:pPr>
              <w:spacing w:after="0" w:line="240" w:lineRule="auto"/>
              <w:jc w:val="center"/>
              <w:rPr>
                <w:rFonts w:ascii="Calibri" w:hAnsi="Calibri" w:cs="Calibri"/>
                <w:sz w:val="20"/>
                <w:szCs w:val="20"/>
              </w:rPr>
            </w:pPr>
            <w:r>
              <w:rPr>
                <w:rFonts w:ascii="Calibri" w:hAnsi="Calibri" w:cs="Calibri"/>
                <w:sz w:val="20"/>
                <w:szCs w:val="20"/>
              </w:rPr>
              <w:t>1a</w:t>
            </w:r>
          </w:p>
        </w:tc>
        <w:tc>
          <w:tcPr>
            <w:tcW w:w="8784" w:type="dxa"/>
            <w:shd w:val="clear" w:color="auto" w:fill="auto"/>
          </w:tcPr>
          <w:p w:rsidR="00F76C29" w:rsidRPr="00E97923" w:rsidRDefault="00FC682F">
            <w:pPr>
              <w:spacing w:after="0" w:line="360" w:lineRule="auto"/>
              <w:rPr>
                <w:rFonts w:ascii="Calibri" w:hAnsi="Calibri" w:cs="Calibri"/>
                <w:sz w:val="20"/>
                <w:szCs w:val="20"/>
              </w:rPr>
            </w:pPr>
            <w:r w:rsidRPr="00E97923">
              <w:rPr>
                <w:rFonts w:ascii="Calibri" w:hAnsi="Calibri" w:cs="Calibri"/>
                <w:sz w:val="20"/>
                <w:szCs w:val="20"/>
              </w:rPr>
              <w:t>Pakiet oprogramowania musi spełniać następujące wymagania poprzez wbudowane mechanizmy, bez użycia dodatkowych aplikacji:</w:t>
            </w:r>
          </w:p>
        </w:tc>
      </w:tr>
      <w:tr w:rsidR="00F76C29" w:rsidRPr="00E97923" w:rsidTr="008F5C7A">
        <w:trPr>
          <w:jc w:val="center"/>
        </w:trPr>
        <w:tc>
          <w:tcPr>
            <w:tcW w:w="567" w:type="dxa"/>
            <w:shd w:val="clear" w:color="auto" w:fill="BFBFBF" w:themeFill="background1" w:themeFillShade="BF"/>
          </w:tcPr>
          <w:p w:rsidR="00F76C29" w:rsidRPr="00E97923" w:rsidRDefault="00FC682F">
            <w:pPr>
              <w:spacing w:after="0" w:line="240" w:lineRule="auto"/>
              <w:jc w:val="center"/>
              <w:rPr>
                <w:rFonts w:ascii="Calibri" w:hAnsi="Calibri" w:cs="Calibri"/>
                <w:sz w:val="20"/>
                <w:szCs w:val="20"/>
              </w:rPr>
            </w:pPr>
            <w:r w:rsidRPr="00E97923">
              <w:rPr>
                <w:rFonts w:ascii="Calibri" w:hAnsi="Calibri" w:cs="Calibri"/>
                <w:sz w:val="20"/>
                <w:szCs w:val="20"/>
              </w:rPr>
              <w:t>1.</w:t>
            </w:r>
          </w:p>
        </w:tc>
        <w:tc>
          <w:tcPr>
            <w:tcW w:w="8784" w:type="dxa"/>
            <w:shd w:val="clear" w:color="auto" w:fill="auto"/>
          </w:tcPr>
          <w:p w:rsidR="00F76C29" w:rsidRPr="00E97923" w:rsidRDefault="00FC682F">
            <w:pPr>
              <w:spacing w:after="0" w:line="360" w:lineRule="auto"/>
              <w:rPr>
                <w:rFonts w:ascii="Calibri" w:hAnsi="Calibri" w:cs="Calibri"/>
                <w:sz w:val="20"/>
                <w:szCs w:val="20"/>
              </w:rPr>
            </w:pPr>
            <w:r w:rsidRPr="00E97923">
              <w:rPr>
                <w:rFonts w:ascii="Calibri" w:hAnsi="Calibri" w:cs="Calibri"/>
                <w:sz w:val="20"/>
                <w:szCs w:val="20"/>
              </w:rPr>
              <w:t xml:space="preserve">Możliwość pracy w chmurze  </w:t>
            </w:r>
          </w:p>
        </w:tc>
      </w:tr>
      <w:tr w:rsidR="00F76C29" w:rsidRPr="00E97923" w:rsidTr="008F5C7A">
        <w:trPr>
          <w:trHeight w:val="3285"/>
          <w:jc w:val="center"/>
        </w:trPr>
        <w:tc>
          <w:tcPr>
            <w:tcW w:w="567"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2.</w:t>
            </w: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Wymagania odnośnie interfejsu użytkownika:</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Pełna polska wersja językowa interfejsu użytkownika z możliwością przełączania wersji językowej interfejsu na język angielski.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Prostota i intuicyjność obsługi, pozwalająca na pracę osobom nieposiadającym umiejętności technicznych.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F76C29" w:rsidRPr="00E97923" w:rsidTr="008F5C7A">
        <w:trPr>
          <w:trHeight w:val="3067"/>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Oprogramowanie musi umożliwiać tworzenie i edycję dokumentów elektronicznych w ustalonym formacie, który spełnia następujące warunki: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Posiada kompletny i publicznie dostępny opis formatu,</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 xml:space="preserve">Ma zdefiniowany układ informacji w postaci XML teleinformatycznych </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Umożliwia wykorzystanie schematów XML,</w:t>
            </w:r>
          </w:p>
        </w:tc>
      </w:tr>
      <w:tr w:rsidR="00F76C29" w:rsidRPr="00E97923" w:rsidTr="008F5C7A">
        <w:trPr>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 xml:space="preserve">Oprogramowanie musi umożliwiać dostosowanie dokumentów i szablonów do potrzeb instytucji oraz udostępniać narzędzia umożliwiające dystrybucję odpowiednich szablonów do właściwych odbiorców. </w:t>
            </w:r>
          </w:p>
        </w:tc>
      </w:tr>
      <w:tr w:rsidR="00F76C29" w:rsidRPr="00E97923" w:rsidTr="008F5C7A">
        <w:trPr>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W skład oprogramowania muszą wchodzić narzędzia programistyczne umożliwiające automatyzację pracy i wymianę danych pomiędzy dokumentami i aplikacjami (język makropoleceń, język skryptowy).</w:t>
            </w:r>
          </w:p>
        </w:tc>
      </w:tr>
      <w:tr w:rsidR="00F76C29" w:rsidRPr="00E97923" w:rsidTr="008F5C7A">
        <w:trPr>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Do aplikacji musi być dostępna pełna dokumentacja w języku polskim.</w:t>
            </w:r>
          </w:p>
        </w:tc>
      </w:tr>
      <w:tr w:rsidR="00F76C29" w:rsidRPr="00E97923" w:rsidTr="008F5C7A">
        <w:trPr>
          <w:trHeight w:val="4028"/>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Pakiet zintegrowanych aplikacji biurowych musi zawierać:</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Edytor tekstów;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Arkusz kalkulacyjny;</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Narzędzie do przygotowywania i prowadzenia prezentacji;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Narzędzie do tworzenia i wypełniania formularzy elektronicznych;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Narzędzie do zarządzania informacją prywatną (pocztą elektroniczną, kalendarzem, kontaktami i zadaniami);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Narzędzie do tworzenia notatek przy pomocy klawiatury lub notatek odręcznych na ekranie urządzenia typu tablet PC z mechanizmem OCR.</w:t>
            </w:r>
          </w:p>
        </w:tc>
      </w:tr>
      <w:tr w:rsidR="00F76C29" w:rsidRPr="00E97923" w:rsidTr="008F5C7A">
        <w:trPr>
          <w:trHeight w:val="1842"/>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Edytor tekstów musi umożliwiać:</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Edycję i formatowanie tekstu w języku polskim wraz z obsługą języka polskiego w zakresie sprawdzania pisowni i poprawności gramatycznej oraz funkcjonalnością słownika wyrazów bliskoznacznych i autokorekty.</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Wstawianie oraz formatowanie tabel.</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Wstawianie oraz formatowanie obiektów graficznych.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Wstawianie wykresów i tabel z arkusza kalkulacyjnego (wliczając tabele przestawne).</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Automatyczne numerowanie rozdziałów, punktów, akapitów, tabel i rysunków.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Automatyczne tworzenie spisów treści.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Formatowanie nagłówków i stopek stron.</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Sprawdzanie pisowni w języku polskim.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Śledzenie zmian wprowadzonych przez użytkowników.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Nagrywanie, tworzenie i edycję makr automatyzujących wykonywanie czynności.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Określenie układu strony (pionowa/pozioma).</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Wydruk dokumentów.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Wykonywanie korespondencji seryjnej bazując na danych adresowych pochodzących z arkusza kalkulacyjnego i z narzędzia do zarządzania informacją prywatną.</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Pracę na dokumentach utworzonych przy pomocy Microsoft Word 2003, Microsoft Word 2007 i Microsoft Word 2010 lub Microsoft Word 2013 z zapewnieniem bezproblemowej konwersji wszystkich elementów i atrybutów dokumentu.</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Zabezpieczenie dokumentów hasłem przed odczytem oraz przed wprowadzaniem modyfikacji.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lastRenderedPageBreak/>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F76C29" w:rsidRPr="00E97923" w:rsidTr="008F5C7A">
        <w:trPr>
          <w:trHeight w:val="9668"/>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Arkusz kalkulacyjny musi umożliwiać:</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Tworzenie raportów tabelarycznych.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Tworzenie wykresów liniowych (wraz linią trendu), słupkowych, kołowych.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Tworzenie arkuszy kalkulacyjnych zawierających teksty, dane liczbowe oraz formuły przeprowadzające operacje matematyczne, logiczne, tekstowe, statystyczne oraz operacje na danych finansowych i na miarach czasu.</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Tworzenie raportów z zewnętrznych źródeł danych (inne arkusze kalkulacyjne, bazy danych zgodne z ODBC, pliki tekstowe, pliki XML, webservice).</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Obsługę kostek OLAP oraz tworzenie i edycję kwerend bazodanowych i webowych. Narzędzia wspomagające analizę statystyczną i finansową, analizę wariantową i rozwiązywanie problemów optymalizacyjnych.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Tworzenie raportów tabeli przestawnych umożliwiających dynamiczną zmianę wymiarów oraz wykresów bazujących na danych z tabeli przestawnych.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Wyszukiwanie i zamianę danych.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Wykonywanie analiz danych przy użyciu formatowania warunkowego.</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Nazywanie komórek arkusza i odwoływanie się w formułach po takiej nazwie.</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Nagrywanie, tworzenie i edycję makr automatyzujących wykonywanie czynności.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Formatowanie czasu, daty i wartości finansowych z polskim formatem.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Zapis wielu arkuszy kalkulacyjnych w jednym pliku.</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Zachowanie pełnej zgodności z formatami plików utworzonych za pomocą oprogramowania Microsoft Excel 2003, Microsoft Excel 2007 oraz Microsoft Excel 2010 i 2013, z uwzględnieniem poprawnej realizacji użytych w nich funkcji specjalnych i makropoleceń.</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Zabezpieczenie dokumentów hasłem przed odczytem oraz przed wprowadzaniem modyfikacji.</w:t>
            </w:r>
          </w:p>
        </w:tc>
      </w:tr>
      <w:tr w:rsidR="00F76C29" w:rsidRPr="00E97923" w:rsidTr="008F5C7A">
        <w:trPr>
          <w:trHeight w:val="5244"/>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Narzędzie do przygotowywania i prowadzenia prezentacji musi umożliwiać:</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Przygotowywanie prezentacji multimedialnych, które będą prezentowane przy użyciu projektora multimedialnego.</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Drukowanie w formacie umożliwiającym robienie notatek.</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Zapisanie w formie prezentacji tylko do odczytu.</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Nagrywanie narracji i dołączanie jej do prezentacji.</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Opatrywanie slajdów notatkami dla prezentera.</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Umieszczanie i formatowanie tekstów, obiektów graficznych, tabel, nagrań dźwiękowych i wideo.</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Umieszczanie tabel i wykresów pochodzących z arkusza kalkulacyjnego.</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Odświeżenie wykresu znajdującego się w prezentacji po zmianie danych w źródłowym arkuszu kalkulacyjnym.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Możliwość tworzenia animacji obiektów i całych slajdów.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Prowadzenie prezentacji w trybie prezentera, gdzie slajdy są widoczne na jednym monitorze lub projektorze, a na drugim widoczne są slajdy i notatki prezentera.</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Pełna zgodność z formatami plików utworzonych za pomocą oprogramowania Microsoft PowerPoint 2003, Microsoft PowerPoint 2007 oraz Microsoft PowerPoint 2010 i 2013.</w:t>
            </w:r>
          </w:p>
        </w:tc>
      </w:tr>
      <w:tr w:rsidR="00F76C29" w:rsidRPr="00E97923" w:rsidTr="008F5C7A">
        <w:trPr>
          <w:trHeight w:val="6445"/>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Narzędzie do tworzenia i wypełniania formularzy elektronicznych musi umożliwiać:</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Przygotowanie formularza elektronicznego i zapisanie go w pliku w formacie XML bez konieczności programowania.</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Umieszczenie w formularzu elektronicznym pól tekstowych, wyboru, daty, list rozwijanych, tabel zawierających powtarzające się zestawy pól do wypełnienia oraz przycisków.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Utworzenie w obrębie jednego formularza z jednym zestawem danych kilku widoków z różnym zestawem elementów, dostępnych dla różnych użytkowników.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Pobieranie danych do formularza elektronicznego z plików XML lub z lokalnej bazy danych wchodzącej w skład pakietu narzędzi biurowych.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Możliwość pobierania danych z platformy do pracy grupowej.</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Przesłanie danych przy użyciu usługi Web (tzw. web service).</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Wypełnianie formularza elektronicznego i zapisywanie powstałego w ten sposób dokumentu w pliku w formacie XML.</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Podpis elektroniczny formularza elektronicznego i dokumentu powstałego z jego wypełnienia.</w:t>
            </w:r>
          </w:p>
        </w:tc>
      </w:tr>
      <w:tr w:rsidR="00F76C29" w:rsidRPr="00E97923" w:rsidTr="008F5C7A">
        <w:trPr>
          <w:trHeight w:val="7262"/>
          <w:jc w:val="center"/>
        </w:trPr>
        <w:tc>
          <w:tcPr>
            <w:tcW w:w="567" w:type="dxa"/>
            <w:shd w:val="clear" w:color="auto" w:fill="BFBFBF" w:themeFill="background1" w:themeFillShade="BF"/>
          </w:tcPr>
          <w:p w:rsidR="00F76C29" w:rsidRPr="00E97923" w:rsidRDefault="00F76C29">
            <w:pPr>
              <w:pStyle w:val="Akapitzlist"/>
              <w:numPr>
                <w:ilvl w:val="0"/>
                <w:numId w:val="11"/>
              </w:numPr>
              <w:spacing w:after="0" w:line="360" w:lineRule="auto"/>
              <w:jc w:val="center"/>
              <w:rPr>
                <w:rFonts w:ascii="Calibri" w:hAnsi="Calibri" w:cs="Calibri"/>
                <w:sz w:val="20"/>
                <w:szCs w:val="20"/>
              </w:rPr>
            </w:pPr>
          </w:p>
        </w:tc>
        <w:tc>
          <w:tcPr>
            <w:tcW w:w="8784"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Narzędzie do zarządzania informacją prywatną (pocztą elektroniczną, kalendarzem, kontaktami i zadaniami) musi umożliwiać:</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Pobieranie i wysyłanie poczty elektronicznej z serwera pocztowego.</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Filtrowanie niechcianej poczty elektronicznej (SPAM) oraz określanie listy zablokowanych i bezpiecznych nadawców.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Tworzenie katalogów, pozwalających katalogować pocztę elektroniczną.</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Automatyczne grupowanie poczty o tym samym tytule.</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Tworzenie reguł przenoszących automatycznie nową pocztę elektroniczną do określonych katalogów bazując na słowach zawartych w tytule, adresie nadawcy i odbiorcy.</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Oflagowanie poczty elektronicznej z określeniem terminu przypomnienia.</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Zarządzanie kalendarzem.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Udostępnianie kalendarza innym użytkownikom.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Przeglądanie kalendarza innych użytkowników.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Zapraszanie uczestników na spotkanie, co po ich akceptacji powoduje automatyczne wprowadzenie spotkania w ich kalendarzach.</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Zarządzanie listą zadań.</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Zlecanie zadań innym użytkownikom.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Zarządzanie listą kontaktów.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Udostępnianie listy kontaktów innym użytkownikom.</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Przeglądanie listy kontaktów innych użytkowników.</w:t>
            </w:r>
          </w:p>
          <w:p w:rsidR="00F76C29" w:rsidRPr="00E97923" w:rsidRDefault="00FC682F">
            <w:pPr>
              <w:pStyle w:val="Akapitzlist"/>
              <w:numPr>
                <w:ilvl w:val="1"/>
                <w:numId w:val="11"/>
              </w:numPr>
              <w:spacing w:after="0" w:line="360" w:lineRule="auto"/>
              <w:ind w:left="737" w:hanging="425"/>
              <w:rPr>
                <w:rFonts w:ascii="Calibri" w:hAnsi="Calibri" w:cs="Calibri"/>
                <w:sz w:val="20"/>
                <w:szCs w:val="20"/>
              </w:rPr>
            </w:pPr>
            <w:r w:rsidRPr="00E97923">
              <w:rPr>
                <w:rFonts w:ascii="Calibri" w:hAnsi="Calibri" w:cs="Calibri"/>
                <w:sz w:val="20"/>
                <w:szCs w:val="20"/>
              </w:rPr>
              <w:t>Możliwość przesyłania kontaktów innym użytkowników.</w:t>
            </w:r>
          </w:p>
        </w:tc>
      </w:tr>
    </w:tbl>
    <w:p w:rsidR="00F76C29" w:rsidRPr="00E97923" w:rsidRDefault="00F76C29">
      <w:pPr>
        <w:rPr>
          <w:rFonts w:ascii="Calibri" w:hAnsi="Calibri" w:cs="Calibri"/>
          <w:sz w:val="20"/>
          <w:szCs w:val="20"/>
        </w:rPr>
      </w:pPr>
    </w:p>
    <w:p w:rsidR="00F76C29" w:rsidRDefault="00F76C29">
      <w:pPr>
        <w:rPr>
          <w:rFonts w:ascii="Calibri" w:hAnsi="Calibri" w:cs="Calibri"/>
          <w:sz w:val="20"/>
          <w:szCs w:val="20"/>
        </w:rPr>
      </w:pPr>
    </w:p>
    <w:p w:rsidR="00E97923" w:rsidRPr="00E97923" w:rsidRDefault="00E97923">
      <w:pPr>
        <w:rPr>
          <w:rFonts w:ascii="Calibri" w:hAnsi="Calibri" w:cs="Calibri"/>
          <w:sz w:val="20"/>
          <w:szCs w:val="20"/>
        </w:rPr>
      </w:pPr>
    </w:p>
    <w:p w:rsidR="00E47221" w:rsidRDefault="00E47221">
      <w:pPr>
        <w:spacing w:after="0" w:line="240" w:lineRule="auto"/>
        <w:rPr>
          <w:rFonts w:ascii="Calibri" w:eastAsiaTheme="minorEastAsia" w:hAnsi="Calibri" w:cs="Calibri"/>
          <w:b/>
          <w:sz w:val="20"/>
          <w:szCs w:val="20"/>
          <w:lang w:eastAsia="pl-PL"/>
        </w:rPr>
      </w:pPr>
      <w:r>
        <w:rPr>
          <w:rFonts w:ascii="Calibri" w:hAnsi="Calibri" w:cs="Calibri"/>
          <w:sz w:val="20"/>
        </w:rPr>
        <w:br w:type="page"/>
      </w:r>
    </w:p>
    <w:p w:rsidR="00F76C29" w:rsidRDefault="00E97923" w:rsidP="00E97923">
      <w:pPr>
        <w:pStyle w:val="Nagwek3"/>
        <w:numPr>
          <w:ilvl w:val="0"/>
          <w:numId w:val="0"/>
        </w:numPr>
        <w:ind w:left="720" w:hanging="720"/>
        <w:rPr>
          <w:rFonts w:ascii="Calibri" w:hAnsi="Calibri" w:cs="Calibri"/>
          <w:sz w:val="20"/>
        </w:rPr>
      </w:pPr>
      <w:r>
        <w:rPr>
          <w:rFonts w:ascii="Calibri" w:hAnsi="Calibri" w:cs="Calibri"/>
          <w:sz w:val="20"/>
        </w:rPr>
        <w:lastRenderedPageBreak/>
        <w:t xml:space="preserve">Poz. 2 - </w:t>
      </w:r>
      <w:r w:rsidR="00FC682F" w:rsidRPr="00E97923">
        <w:rPr>
          <w:rFonts w:ascii="Calibri" w:hAnsi="Calibri" w:cs="Calibri"/>
          <w:sz w:val="20"/>
        </w:rPr>
        <w:t>Licencja oprogramowania biurowego Microsoft Office Home &amp; Business 2016 w polskiej wersji językowej lub produkt równoważny:</w:t>
      </w:r>
    </w:p>
    <w:p w:rsidR="00E97923" w:rsidRPr="00E97923" w:rsidRDefault="00E97923" w:rsidP="00E97923">
      <w:pPr>
        <w:pStyle w:val="Nagwek3"/>
        <w:numPr>
          <w:ilvl w:val="0"/>
          <w:numId w:val="0"/>
        </w:numPr>
        <w:ind w:left="720" w:hanging="720"/>
        <w:rPr>
          <w:rFonts w:ascii="Calibri" w:hAnsi="Calibri" w:cs="Calibri"/>
          <w:sz w:val="20"/>
        </w:rPr>
      </w:pPr>
    </w:p>
    <w:p w:rsidR="00F76C29" w:rsidRPr="00E97923" w:rsidRDefault="00483AE4">
      <w:pPr>
        <w:rPr>
          <w:rFonts w:ascii="Calibri" w:hAnsi="Calibri" w:cs="Calibri"/>
          <w:sz w:val="20"/>
          <w:szCs w:val="20"/>
        </w:rPr>
      </w:pPr>
      <w:r w:rsidRPr="00E97923">
        <w:rPr>
          <w:rFonts w:ascii="Calibri" w:hAnsi="Calibri" w:cs="Calibri"/>
          <w:b/>
          <w:sz w:val="20"/>
          <w:szCs w:val="20"/>
        </w:rPr>
        <w:t>4</w:t>
      </w:r>
      <w:r w:rsidR="00FC682F" w:rsidRPr="00E97923">
        <w:rPr>
          <w:rFonts w:ascii="Calibri" w:hAnsi="Calibri" w:cs="Calibri"/>
          <w:b/>
          <w:sz w:val="20"/>
          <w:szCs w:val="20"/>
        </w:rPr>
        <w:t>5 licencji</w:t>
      </w:r>
      <w:r w:rsidR="00FC682F" w:rsidRPr="00E97923">
        <w:rPr>
          <w:rFonts w:ascii="Calibri" w:hAnsi="Calibri" w:cs="Calibri"/>
          <w:sz w:val="20"/>
          <w:szCs w:val="20"/>
        </w:rPr>
        <w:t xml:space="preserve"> oprogramowania, na nośniku CD/DVD lub udostępnienie oprogramowania drogą elektroniczną poprzez dostęp do strony internetowej zawierającej dane oprogramowanie. Licencja – bez ograniczeń czasowych.</w:t>
      </w:r>
    </w:p>
    <w:tbl>
      <w:tblPr>
        <w:tblStyle w:val="Tabela-Siatka"/>
        <w:tblW w:w="9351" w:type="dxa"/>
        <w:jc w:val="center"/>
        <w:tblLook w:val="04A0" w:firstRow="1" w:lastRow="0" w:firstColumn="1" w:lastColumn="0" w:noHBand="0" w:noVBand="1"/>
      </w:tblPr>
      <w:tblGrid>
        <w:gridCol w:w="664"/>
        <w:gridCol w:w="8687"/>
      </w:tblGrid>
      <w:tr w:rsidR="00F76C29" w:rsidRPr="00E97923" w:rsidTr="008F5C7A">
        <w:trPr>
          <w:trHeight w:val="484"/>
          <w:jc w:val="center"/>
        </w:trPr>
        <w:tc>
          <w:tcPr>
            <w:tcW w:w="664" w:type="dxa"/>
            <w:shd w:val="clear" w:color="auto" w:fill="BFBFBF" w:themeFill="background1" w:themeFillShade="BF"/>
            <w:vAlign w:val="center"/>
          </w:tcPr>
          <w:p w:rsidR="00F76C29" w:rsidRPr="00E97923" w:rsidRDefault="00FC682F">
            <w:pPr>
              <w:spacing w:after="0" w:line="240" w:lineRule="auto"/>
              <w:jc w:val="center"/>
              <w:rPr>
                <w:rFonts w:ascii="Calibri" w:hAnsi="Calibri" w:cs="Calibri"/>
                <w:b/>
                <w:bCs/>
                <w:sz w:val="20"/>
                <w:szCs w:val="20"/>
              </w:rPr>
            </w:pPr>
            <w:r w:rsidRPr="00E97923">
              <w:rPr>
                <w:rFonts w:ascii="Calibri" w:hAnsi="Calibri" w:cs="Calibri"/>
                <w:b/>
                <w:sz w:val="20"/>
                <w:szCs w:val="20"/>
              </w:rPr>
              <w:t>Lp.</w:t>
            </w:r>
          </w:p>
        </w:tc>
        <w:tc>
          <w:tcPr>
            <w:tcW w:w="8687" w:type="dxa"/>
            <w:shd w:val="clear" w:color="auto" w:fill="BFBFBF" w:themeFill="background1" w:themeFillShade="BF"/>
            <w:vAlign w:val="center"/>
          </w:tcPr>
          <w:p w:rsidR="00F76C29" w:rsidRPr="00E97923" w:rsidRDefault="00FC682F">
            <w:pPr>
              <w:pStyle w:val="Zawartotabeli"/>
              <w:spacing w:line="276" w:lineRule="auto"/>
              <w:jc w:val="center"/>
              <w:rPr>
                <w:rFonts w:ascii="Calibri" w:hAnsi="Calibri" w:cs="Calibri"/>
                <w:b/>
                <w:bCs/>
                <w:sz w:val="20"/>
                <w:szCs w:val="20"/>
              </w:rPr>
            </w:pPr>
            <w:r w:rsidRPr="00E97923">
              <w:rPr>
                <w:rFonts w:ascii="Calibri" w:hAnsi="Calibri" w:cs="Calibri"/>
                <w:b/>
                <w:bCs/>
                <w:sz w:val="20"/>
                <w:szCs w:val="20"/>
              </w:rPr>
              <w:t>Warunek równoważności</w:t>
            </w:r>
          </w:p>
        </w:tc>
      </w:tr>
      <w:tr w:rsidR="00F76C29" w:rsidRPr="00E97923" w:rsidTr="008F5C7A">
        <w:trPr>
          <w:jc w:val="center"/>
        </w:trPr>
        <w:tc>
          <w:tcPr>
            <w:tcW w:w="664" w:type="dxa"/>
            <w:shd w:val="clear" w:color="auto" w:fill="BFBFBF" w:themeFill="background1" w:themeFillShade="BF"/>
          </w:tcPr>
          <w:p w:rsidR="00F76C29" w:rsidRPr="00E97923" w:rsidRDefault="00FC682F">
            <w:pPr>
              <w:spacing w:after="0" w:line="240" w:lineRule="auto"/>
              <w:jc w:val="center"/>
              <w:rPr>
                <w:rFonts w:ascii="Calibri" w:hAnsi="Calibri" w:cs="Calibri"/>
                <w:sz w:val="20"/>
                <w:szCs w:val="20"/>
              </w:rPr>
            </w:pPr>
            <w:r w:rsidRPr="00E97923">
              <w:rPr>
                <w:rFonts w:ascii="Calibri" w:hAnsi="Calibri" w:cs="Calibri"/>
                <w:sz w:val="20"/>
                <w:szCs w:val="20"/>
              </w:rPr>
              <w:t>1.</w:t>
            </w:r>
          </w:p>
        </w:tc>
        <w:tc>
          <w:tcPr>
            <w:tcW w:w="8687" w:type="dxa"/>
            <w:shd w:val="clear" w:color="auto" w:fill="auto"/>
          </w:tcPr>
          <w:p w:rsidR="00F76C29" w:rsidRPr="00E97923" w:rsidRDefault="00FC682F">
            <w:pPr>
              <w:spacing w:after="0" w:line="360" w:lineRule="auto"/>
              <w:rPr>
                <w:rFonts w:ascii="Calibri" w:hAnsi="Calibri" w:cs="Calibri"/>
                <w:sz w:val="20"/>
                <w:szCs w:val="20"/>
              </w:rPr>
            </w:pPr>
            <w:r w:rsidRPr="00E97923">
              <w:rPr>
                <w:rFonts w:ascii="Calibri" w:hAnsi="Calibri" w:cs="Calibri"/>
                <w:sz w:val="20"/>
                <w:szCs w:val="20"/>
              </w:rPr>
              <w:t>Pakiet oprogramowania musi spełniać następujące wymagania poprzez wbudowane mechanizmy, bez użycia dodatkowych aplikacji:</w:t>
            </w:r>
          </w:p>
        </w:tc>
      </w:tr>
      <w:tr w:rsidR="00F76C29" w:rsidRPr="00E97923" w:rsidTr="008F5C7A">
        <w:trPr>
          <w:trHeight w:val="3285"/>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2.</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Wymagania odnośnie interfejsu użytkownika:</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Pełna polska wersja językowa interfejsu użytkownika z możliwością przełączania wersji językowej interfejsu na język angielski.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Prostota i intuicyjność obsługi, pozwalająca na pracę osobom nieposiadającym umiejętności technicznych.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F76C29" w:rsidRPr="00E97923" w:rsidTr="008F5C7A">
        <w:trPr>
          <w:trHeight w:val="3067"/>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3.</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Oprogramowanie musi umożliwiać tworzenie i edycję dokumentów elektronicznych w ustalonym formacie, który spełnia następujące warunki: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Posiada kompletny i publicznie dostępny opis formatu,</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Ma zdefiniowany układ informacji w postaci XML zgodnie z Tabelą B1 załącznika 2 Rozporządzenia w sprawie minimalnych wymagań dla systemów teleinformatycznych (Dz.U.05.212.1766),</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Umożliwia wykorzystanie schematów XML,</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Wspiera w swojej specyfikacji podpis elektroniczny zgodnie z Tabelą A.1.1 Załącznika 2 Rozporządzenia w sprawie minimalnych wymagań dla systemów teleinformatycznych (Dz. U. 05. 212. 1766).</w:t>
            </w:r>
          </w:p>
        </w:tc>
      </w:tr>
      <w:tr w:rsidR="00F76C29" w:rsidRPr="00E97923" w:rsidTr="008F5C7A">
        <w:trPr>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4.</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 xml:space="preserve">Oprogramowanie musi umożliwiać dostosowanie dokumentów i szablonów do potrzeb instytucji oraz udostępniać narzędzia umożliwiające dystrybucję odpowiednich szablonów do właściwych odbiorców. </w:t>
            </w:r>
          </w:p>
        </w:tc>
      </w:tr>
      <w:tr w:rsidR="00F76C29" w:rsidRPr="00E97923" w:rsidTr="008F5C7A">
        <w:trPr>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5.</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W skład oprogramowania muszą wchodzić narzędzia programistyczne umożliwiające automatyzację pracy i wymianę danych pomiędzy dokumentami i aplikacjami (język makropoleceń, język skryptowy).</w:t>
            </w:r>
          </w:p>
        </w:tc>
      </w:tr>
      <w:tr w:rsidR="00F76C29" w:rsidRPr="00E97923" w:rsidTr="008F5C7A">
        <w:trPr>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6.</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Do aplikacji musi być dostępna pełna dokumentacja w języku polskim.</w:t>
            </w:r>
          </w:p>
        </w:tc>
      </w:tr>
      <w:tr w:rsidR="00F76C29" w:rsidRPr="00E97923" w:rsidTr="008F5C7A">
        <w:trPr>
          <w:trHeight w:val="4028"/>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lastRenderedPageBreak/>
              <w:t>7.</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Pakiet zintegrowanych aplikacji biurowych musi zawierać:</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Edytor tekstów;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Arkusz kalkulacyjny;</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Narzędzie do przygotowywania i prowadzenia prezentacji;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Narzędzie do tworzenia i wypełniania formularzy elektronicznych;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Narzędzie do zarządzania informacją prywatną (pocztą elektroniczną, kalendarzem, kontaktami i zadaniami);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Narzędzie do tworzenia notatek przy pomocy klawiatury lub notatek odręcznych na ekranie urządzenia typu tablet PC z mechanizmem OCR.</w:t>
            </w:r>
          </w:p>
        </w:tc>
      </w:tr>
      <w:tr w:rsidR="00F76C29" w:rsidRPr="00E97923" w:rsidTr="008F5C7A">
        <w:trPr>
          <w:trHeight w:val="1842"/>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8.</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Edytor tekstów musi umożliwiać:</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Edycję i formatowanie tekstu w języku polskim wraz z obsługą języka polskiego w zakresie sprawdzania pisowni i poprawności gramatycznej oraz funkcjonalnością słownika wyrazów bliskoznacznych i autokorekty.</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Wstawianie oraz formatowanie tabel.</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Wstawianie oraz formatowanie obiektów graficznych.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Wstawianie wykresów i tabel z arkusza kalkulacyjnego (wliczając tabele przestawne).</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Automatyczne numerowanie rozdziałów, punktów, akapitów, tabel i rysunków.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Automatyczne tworzenie spisów treści.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Formatowanie nagłówków i stopek stron.</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Sprawdzanie pisowni w języku polskim.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Śledzenie zmian wprowadzonych przez użytkowników.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Nagrywanie, tworzenie i edycję makr automatyzujących wykonywanie czynności.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Określenie układu strony (pionowa/pozioma).</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Wydruk dokumentów.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Wykonywanie korespondencji seryjnej bazując na danych adresowych pochodzących z arkusza kalkulacyjnego i z narzędzia do zarządzania informacją prywatną.</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Pracę na dokumentach utworzonych przy pomocy Microsoft Word 2003, Microsoft Word 2007 i Microsoft Word 2010 lub Microsoft Word 2013 z zapewnieniem bezproblemowej konwersji wszystkich elementów i atrybutów dokumentu.</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Zabezpieczenie dokumentów hasłem przed odczytem oraz przed wprowadzaniem modyfikacji.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lastRenderedPageBreak/>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F76C29" w:rsidRPr="00E97923" w:rsidTr="008F5C7A">
        <w:trPr>
          <w:trHeight w:val="9668"/>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lastRenderedPageBreak/>
              <w:t>9.</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Arkusz kalkulacyjny musi umożliwiać:</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Tworzenie raportów tabelarycznych.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Tworzenie wykresów liniowych (wraz linią trendu), słupkowych, kołowych.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Tworzenie arkuszy kalkulacyjnych zawierających teksty, dane liczbowe oraz formuły przeprowadzające operacje matematyczne, logiczne, tekstowe, statystyczne oraz operacje na danych finansowych i na miarach czasu.</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Tworzenie raportów z zewnętrznych źródeł danych (inne arkusze kalkulacyjne, bazy danych zgodne z ODBC, pliki tekstowe, pliki XML, webservice).</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Obsługę kostek OLAP oraz tworzenie i edycję kwerend bazodanowych i webowych. Narzędzia wspomagające analizę statystyczną i finansową, analizę wariantową i rozwiązywanie problemów optymalizacyjnych.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Tworzenie raportów tabeli przestawnych umożliwiających dynamiczną zmianę wymiarów oraz wykresów bazujących na danych z tabeli przestawnych.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Wyszukiwanie i zamianę danych.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Wykonywanie analiz danych przy użyciu formatowania warunkowego.</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Nazywanie komórek arkusza i odwoływanie się w formułach po takiej nazwie.</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Nagrywanie, tworzenie i edycję makr automatyzujących wykonywanie czynności.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Formatowanie czasu, daty i wartości finansowych z polskim formatem.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Zapis wielu arkuszy kalkulacyjnych w jednym pliku.</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Zachowanie pełnej zgodności z formatami plików utworzonych za pomocą oprogramowania Microsoft Excel 2003, Microsoft Excel 2007 oraz Microsoft Excel 2010 i 2013, z uwzględnieniem poprawnej realizacji użytych w nich funkcji specjalnych i makropoleceń.</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Zabezpieczenie dokumentów hasłem przed odczytem oraz przed wprowadzaniem modyfikacji.</w:t>
            </w:r>
          </w:p>
        </w:tc>
      </w:tr>
      <w:tr w:rsidR="00F76C29" w:rsidRPr="00E97923" w:rsidTr="008F5C7A">
        <w:trPr>
          <w:trHeight w:val="5244"/>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lastRenderedPageBreak/>
              <w:t>10.</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Narzędzie do przygotowywania i prowadzenia prezentacji musi umożliwiać:</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Przygotowywanie prezentacji multimedialnych, które będą prezentowane przy użyciu projektora multimedialnego.</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Drukowanie w formacie umożliwiającym robienie notatek.</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Zapisanie w formie prezentacji tylko do odczytu.</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Nagrywanie narracji i dołączanie jej do prezentacji.</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Opatrywanie slajdów notatkami dla prezentera.</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Umieszczanie i formatowanie tekstów, obiektów graficznych, tabel, nagrań dźwiękowych i wideo.</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Umieszczanie tabel i wykresów pochodzących z arkusza kalkulacyjnego.</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Odświeżenie wykresu znajdującego się w prezentacji po zmianie danych w źródłowym arkuszu kalkulacyjnym.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Możliwość tworzenia animacji obiektów i całych slajdów.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Prowadzenie prezentacji w trybie prezentera, gdzie slajdy są widoczne na jednym monitorze lub projektorze, a na drugim widoczne są slajdy i notatki prezentera.</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Pełna zgodność z formatami plików utworzonych za pomocą oprogramowania Microsoft PowerPoint 2003, Microsoft PowerPoint 2007 oraz Microsoft PowerPoint 2010 i 2013.</w:t>
            </w:r>
          </w:p>
        </w:tc>
      </w:tr>
      <w:tr w:rsidR="00F76C29" w:rsidRPr="00E97923" w:rsidTr="008F5C7A">
        <w:trPr>
          <w:trHeight w:val="6445"/>
          <w:jc w:val="center"/>
        </w:trPr>
        <w:tc>
          <w:tcPr>
            <w:tcW w:w="664" w:type="dxa"/>
            <w:shd w:val="clear" w:color="auto" w:fill="BFBFBF" w:themeFill="background1" w:themeFillShade="BF"/>
          </w:tcPr>
          <w:p w:rsidR="00F76C29" w:rsidRPr="00E97923" w:rsidRDefault="00FC682F">
            <w:pPr>
              <w:spacing w:after="0" w:line="360" w:lineRule="auto"/>
              <w:ind w:left="142"/>
              <w:jc w:val="center"/>
              <w:rPr>
                <w:rFonts w:ascii="Calibri" w:hAnsi="Calibri" w:cs="Calibri"/>
                <w:sz w:val="20"/>
                <w:szCs w:val="20"/>
              </w:rPr>
            </w:pPr>
            <w:r w:rsidRPr="00E97923">
              <w:rPr>
                <w:rFonts w:ascii="Calibri" w:hAnsi="Calibri" w:cs="Calibri"/>
                <w:sz w:val="20"/>
                <w:szCs w:val="20"/>
              </w:rPr>
              <w:t>11.</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Narzędzie do tworzenia i wypełniania formularzy elektronicznych musi umożliwiać:</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Przygotowanie formularza elektronicznego i zapisanie go w pliku w formacie XML bez konieczności programowania.</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Umieszczenie w formularzu elektronicznym pól tekstowych, wyboru, daty, list rozwijanych, tabel zawierających powtarzające się zestawy pól do wypełnienia oraz przycisków.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Utworzenie w obrębie jednego formularza z jednym zestawem danych kilku widoków z różnym zestawem elementów, dostępnych dla różnych użytkowników.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Pobieranie danych do formularza elektronicznego z plików XML lub z lokalnej bazy danych wchodzącej w skład pakietu narzędzi biurowych.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Możliwość pobierania danych z platformy do pracy grupowej.</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Przesłanie danych przy użyciu usługi Web (tzw. web service).</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Wypełnianie formularza elektronicznego i zapisywanie powstałego w ten sposób dokumentu w pliku w formacie XML.</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Podpis elektroniczny formularza elektronicznego i dokumentu powstałego z jego wypełnienia.</w:t>
            </w:r>
          </w:p>
        </w:tc>
      </w:tr>
      <w:tr w:rsidR="00F76C29" w:rsidRPr="00E97923" w:rsidTr="008F5C7A">
        <w:trPr>
          <w:trHeight w:val="7262"/>
          <w:jc w:val="center"/>
        </w:trPr>
        <w:tc>
          <w:tcPr>
            <w:tcW w:w="664" w:type="dxa"/>
            <w:shd w:val="clear" w:color="auto" w:fill="BFBFBF" w:themeFill="background1" w:themeFillShade="BF"/>
          </w:tcPr>
          <w:p w:rsidR="00F76C29" w:rsidRPr="00E97923" w:rsidRDefault="008F5C7A">
            <w:pPr>
              <w:spacing w:after="0" w:line="360" w:lineRule="auto"/>
              <w:ind w:left="142"/>
              <w:jc w:val="center"/>
              <w:rPr>
                <w:rFonts w:ascii="Calibri" w:hAnsi="Calibri" w:cs="Calibri"/>
                <w:sz w:val="20"/>
                <w:szCs w:val="20"/>
              </w:rPr>
            </w:pPr>
            <w:r>
              <w:rPr>
                <w:rFonts w:ascii="Calibri" w:hAnsi="Calibri" w:cs="Calibri"/>
                <w:sz w:val="20"/>
                <w:szCs w:val="20"/>
              </w:rPr>
              <w:lastRenderedPageBreak/>
              <w:t>12</w:t>
            </w:r>
            <w:r w:rsidR="00FC682F" w:rsidRPr="00E97923">
              <w:rPr>
                <w:rFonts w:ascii="Calibri" w:hAnsi="Calibri" w:cs="Calibri"/>
                <w:sz w:val="20"/>
                <w:szCs w:val="20"/>
              </w:rPr>
              <w:t>.</w:t>
            </w:r>
          </w:p>
        </w:tc>
        <w:tc>
          <w:tcPr>
            <w:tcW w:w="8687" w:type="dxa"/>
            <w:shd w:val="clear" w:color="auto" w:fill="auto"/>
          </w:tcPr>
          <w:p w:rsidR="00F76C29" w:rsidRPr="00E97923" w:rsidRDefault="00FC682F">
            <w:pPr>
              <w:spacing w:after="0" w:line="360" w:lineRule="auto"/>
              <w:ind w:left="142"/>
              <w:rPr>
                <w:rFonts w:ascii="Calibri" w:hAnsi="Calibri" w:cs="Calibri"/>
                <w:sz w:val="20"/>
                <w:szCs w:val="20"/>
              </w:rPr>
            </w:pPr>
            <w:r w:rsidRPr="00E97923">
              <w:rPr>
                <w:rFonts w:ascii="Calibri" w:hAnsi="Calibri" w:cs="Calibri"/>
                <w:sz w:val="20"/>
                <w:szCs w:val="20"/>
              </w:rPr>
              <w:t>Narzędzie do zarządzania informacją prywatną (pocztą elektroniczną, kalendarzem, kontaktami i zadaniami) musi umożliwiać:</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Pobieranie i wysyłanie poczty elektronicznej z serwera pocztowego.</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Filtrowanie niechcianej poczty elektronicznej (SPAM) oraz określanie listy zablokowanych i bezpiecznych nadawców.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Tworzenie katalogów, pozwalających katalogować pocztę elektroniczną.</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Automatyczne grupowanie poczty o tym samym tytule.</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Tworzenie reguł przenoszących automatycznie nową pocztę elektroniczną do określonych katalogów bazując na słowach zawartych w tytule, adresie nadawcy i odbiorcy.</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Oflagowanie poczty elektronicznej z określeniem terminu przypomnienia.</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Zarządzanie kalendarzem.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Udostępnianie kalendarza innym użytkownikom.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Przeglądanie kalendarza innych użytkowników.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Zapraszanie uczestników na spotkanie, co po ich akceptacji powoduje automatyczne wprowadzenie spotkania w ich kalendarzach.</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Zarządzanie listą zadań.</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Zlecanie zadań innym użytkownikom.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Zarządzanie listą kontaktów.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Udostępnianie listy kontaktów innym użytkownikom.</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Przeglądanie listy kontaktów innych użytkowników.</w:t>
            </w:r>
          </w:p>
          <w:p w:rsidR="00F76C29" w:rsidRPr="00E97923" w:rsidRDefault="00FC682F">
            <w:pPr>
              <w:pStyle w:val="Akapitzlist"/>
              <w:spacing w:after="0" w:line="360" w:lineRule="auto"/>
              <w:ind w:left="737"/>
              <w:rPr>
                <w:rFonts w:ascii="Calibri" w:hAnsi="Calibri" w:cs="Calibri"/>
                <w:sz w:val="20"/>
                <w:szCs w:val="20"/>
              </w:rPr>
            </w:pPr>
            <w:r w:rsidRPr="00E97923">
              <w:rPr>
                <w:rFonts w:ascii="Calibri" w:hAnsi="Calibri" w:cs="Calibri"/>
                <w:sz w:val="20"/>
                <w:szCs w:val="20"/>
              </w:rPr>
              <w:t>- Możliwość przesyłania kontaktów innym użytkowników.</w:t>
            </w:r>
          </w:p>
        </w:tc>
      </w:tr>
    </w:tbl>
    <w:p w:rsidR="00F76C29" w:rsidRPr="00E97923" w:rsidRDefault="00F76C29">
      <w:pPr>
        <w:rPr>
          <w:rFonts w:ascii="Calibri" w:hAnsi="Calibri" w:cs="Calibri"/>
          <w:sz w:val="20"/>
          <w:szCs w:val="20"/>
        </w:rPr>
      </w:pPr>
    </w:p>
    <w:p w:rsidR="00F76C29" w:rsidRPr="00E97923" w:rsidRDefault="00FC682F">
      <w:pPr>
        <w:rPr>
          <w:rFonts w:ascii="Calibri" w:hAnsi="Calibri" w:cs="Calibri"/>
          <w:sz w:val="20"/>
          <w:szCs w:val="20"/>
        </w:rPr>
      </w:pPr>
      <w:r w:rsidRPr="00E97923">
        <w:rPr>
          <w:rFonts w:ascii="Calibri" w:hAnsi="Calibri" w:cs="Calibri"/>
          <w:sz w:val="20"/>
          <w:szCs w:val="20"/>
        </w:rPr>
        <w:t xml:space="preserve">  </w:t>
      </w:r>
    </w:p>
    <w:p w:rsidR="00F76C29" w:rsidRPr="00E97923" w:rsidRDefault="00FC682F">
      <w:pPr>
        <w:rPr>
          <w:rFonts w:ascii="Calibri" w:hAnsi="Calibri" w:cs="Calibri"/>
          <w:sz w:val="20"/>
          <w:szCs w:val="20"/>
        </w:rPr>
      </w:pPr>
      <w:r w:rsidRPr="00E97923">
        <w:rPr>
          <w:rFonts w:ascii="Calibri" w:hAnsi="Calibri" w:cs="Calibri"/>
          <w:sz w:val="20"/>
          <w:szCs w:val="20"/>
        </w:rPr>
        <w:t xml:space="preserve">  </w:t>
      </w:r>
    </w:p>
    <w:p w:rsidR="00E47221" w:rsidRDefault="00E47221">
      <w:pPr>
        <w:spacing w:after="0" w:line="240" w:lineRule="auto"/>
        <w:rPr>
          <w:rFonts w:ascii="Calibri" w:eastAsiaTheme="majorEastAsia" w:hAnsi="Calibri" w:cs="Calibri"/>
          <w:b/>
          <w:sz w:val="20"/>
          <w:szCs w:val="20"/>
          <w:lang w:eastAsia="pl-PL"/>
        </w:rPr>
      </w:pPr>
      <w:r>
        <w:rPr>
          <w:rFonts w:ascii="Calibri" w:eastAsiaTheme="majorEastAsia" w:hAnsi="Calibri" w:cs="Calibri"/>
          <w:sz w:val="20"/>
        </w:rPr>
        <w:br w:type="page"/>
      </w:r>
    </w:p>
    <w:p w:rsidR="00F76C29" w:rsidRPr="00E97923" w:rsidRDefault="001A791C" w:rsidP="001A791C">
      <w:pPr>
        <w:pStyle w:val="Nagwek3"/>
        <w:numPr>
          <w:ilvl w:val="0"/>
          <w:numId w:val="0"/>
        </w:numPr>
        <w:ind w:left="720" w:hanging="720"/>
        <w:rPr>
          <w:rFonts w:ascii="Calibri" w:eastAsiaTheme="majorEastAsia" w:hAnsi="Calibri" w:cs="Calibri"/>
          <w:sz w:val="20"/>
        </w:rPr>
      </w:pPr>
      <w:r>
        <w:rPr>
          <w:rFonts w:ascii="Calibri" w:eastAsiaTheme="majorEastAsia" w:hAnsi="Calibri" w:cs="Calibri"/>
          <w:sz w:val="20"/>
        </w:rPr>
        <w:lastRenderedPageBreak/>
        <w:t xml:space="preserve">Poz. 3 - </w:t>
      </w:r>
      <w:r w:rsidR="00FC682F" w:rsidRPr="00E97923">
        <w:rPr>
          <w:rFonts w:ascii="Calibri" w:eastAsiaTheme="majorEastAsia" w:hAnsi="Calibri" w:cs="Calibri"/>
          <w:sz w:val="20"/>
        </w:rPr>
        <w:t>Licencja oprogramowania systemu operacyjnego Microsoft Windows Server 2016 Standard GOV lub produkt równoważny:</w:t>
      </w:r>
    </w:p>
    <w:p w:rsidR="00F76C29" w:rsidRPr="00E97923" w:rsidRDefault="00F76C29">
      <w:pPr>
        <w:rPr>
          <w:rFonts w:ascii="Calibri" w:hAnsi="Calibri" w:cs="Calibri"/>
          <w:sz w:val="20"/>
          <w:szCs w:val="20"/>
        </w:rPr>
      </w:pPr>
      <w:bookmarkStart w:id="1" w:name="OLE_LINK52"/>
      <w:bookmarkStart w:id="2" w:name="OLE_LINK51"/>
      <w:bookmarkEnd w:id="1"/>
      <w:bookmarkEnd w:id="2"/>
    </w:p>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
          <w:bCs/>
          <w:sz w:val="20"/>
          <w:szCs w:val="20"/>
        </w:rPr>
        <w:t>16</w:t>
      </w:r>
      <w:r w:rsidR="00253B2C" w:rsidRPr="00E97923">
        <w:rPr>
          <w:rFonts w:ascii="Calibri" w:eastAsiaTheme="majorEastAsia" w:hAnsi="Calibri" w:cs="Calibri"/>
          <w:b/>
          <w:bCs/>
          <w:sz w:val="20"/>
          <w:szCs w:val="20"/>
        </w:rPr>
        <w:t xml:space="preserve"> </w:t>
      </w:r>
      <w:r w:rsidRPr="00E97923">
        <w:rPr>
          <w:rFonts w:ascii="Calibri" w:eastAsiaTheme="majorEastAsia" w:hAnsi="Calibri" w:cs="Calibri"/>
          <w:b/>
          <w:bCs/>
          <w:sz w:val="20"/>
          <w:szCs w:val="20"/>
        </w:rPr>
        <w:t>licencji</w:t>
      </w:r>
      <w:r w:rsidRPr="00E97923">
        <w:rPr>
          <w:rFonts w:ascii="Calibri" w:eastAsiaTheme="majorEastAsia" w:hAnsi="Calibri" w:cs="Calibri"/>
          <w:bCs/>
          <w:sz w:val="20"/>
          <w:szCs w:val="20"/>
        </w:rPr>
        <w:t xml:space="preserve"> oprogramowania dla instytucji samorządowych, na nośniku CD/DVD lub udostępnienie oprogramowania drogą elektroniczną poprzez dostęp do strony internetowej zawierającej dane oprogramowanie. Licencja – bez ograniczeń czasowych.</w:t>
      </w:r>
    </w:p>
    <w:p w:rsidR="00F76C29" w:rsidRPr="00E97923" w:rsidRDefault="00FE05BA">
      <w:pPr>
        <w:ind w:left="11"/>
        <w:jc w:val="both"/>
        <w:rPr>
          <w:rFonts w:ascii="Calibri" w:eastAsiaTheme="majorEastAsia" w:hAnsi="Calibri" w:cs="Calibri"/>
          <w:b/>
          <w:bCs/>
          <w:sz w:val="20"/>
          <w:szCs w:val="20"/>
        </w:rPr>
      </w:pPr>
      <w:r w:rsidRPr="00CF70EA">
        <w:rPr>
          <w:rFonts w:cstheme="minorHAnsi"/>
          <w:sz w:val="20"/>
          <w:szCs w:val="20"/>
        </w:rPr>
        <w:t>16 osobnych licencji Microsoft Windows Server 2016 Standard GOV z ilością core zgoda z licencjonowaniem producenta</w:t>
      </w:r>
      <w:r w:rsidRPr="00E97923">
        <w:rPr>
          <w:rFonts w:ascii="Calibri" w:eastAsiaTheme="majorEastAsia" w:hAnsi="Calibri" w:cs="Calibri"/>
          <w:bCs/>
          <w:sz w:val="20"/>
          <w:szCs w:val="20"/>
        </w:rPr>
        <w:t xml:space="preserve"> </w:t>
      </w:r>
      <w:r w:rsidR="00FC682F" w:rsidRPr="00E97923">
        <w:rPr>
          <w:rFonts w:ascii="Calibri" w:eastAsiaTheme="majorEastAsia" w:hAnsi="Calibri" w:cs="Calibri"/>
          <w:bCs/>
          <w:sz w:val="20"/>
          <w:szCs w:val="20"/>
        </w:rPr>
        <w:t>oraz zmianę wersji systemu operacyjnego na niższą z zachowaniem wsparcia technicznego oraz na przeniesienie licencji systemu operacyjnego na inny fizyczny serwer.</w:t>
      </w:r>
    </w:p>
    <w:tbl>
      <w:tblPr>
        <w:tblW w:w="9645" w:type="dxa"/>
        <w:tblInd w:w="4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524"/>
        <w:gridCol w:w="9121"/>
      </w:tblGrid>
      <w:tr w:rsidR="00F76C29" w:rsidRPr="00E97923">
        <w:trPr>
          <w:tblHeader/>
        </w:trPr>
        <w:tc>
          <w:tcPr>
            <w:tcW w:w="524" w:type="dxa"/>
            <w:tcBorders>
              <w:top w:val="single" w:sz="2" w:space="0" w:color="000000"/>
              <w:left w:val="single" w:sz="2" w:space="0" w:color="000000"/>
              <w:bottom w:val="single" w:sz="2" w:space="0" w:color="000000"/>
            </w:tcBorders>
            <w:shd w:val="clear" w:color="auto" w:fill="BFBFBF" w:themeFill="background1" w:themeFillShade="BF"/>
            <w:vAlign w:val="center"/>
          </w:tcPr>
          <w:p w:rsidR="00F76C29" w:rsidRPr="00E97923" w:rsidRDefault="00FC682F">
            <w:pPr>
              <w:jc w:val="both"/>
              <w:rPr>
                <w:rFonts w:ascii="Calibri" w:hAnsi="Calibri" w:cs="Calibri"/>
                <w:b/>
                <w:bCs/>
                <w:sz w:val="20"/>
                <w:szCs w:val="20"/>
              </w:rPr>
            </w:pPr>
            <w:r w:rsidRPr="00E97923">
              <w:rPr>
                <w:rFonts w:ascii="Calibri" w:hAnsi="Calibri" w:cs="Calibri"/>
                <w:b/>
                <w:bCs/>
                <w:sz w:val="20"/>
                <w:szCs w:val="20"/>
              </w:rPr>
              <w:t xml:space="preserve">Lp. </w:t>
            </w:r>
          </w:p>
        </w:tc>
        <w:tc>
          <w:tcPr>
            <w:tcW w:w="912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rsidR="00F76C29" w:rsidRPr="00E97923" w:rsidRDefault="00FC682F">
            <w:pPr>
              <w:jc w:val="both"/>
              <w:rPr>
                <w:rFonts w:ascii="Calibri" w:eastAsiaTheme="majorEastAsia" w:hAnsi="Calibri" w:cs="Calibri"/>
                <w:bCs/>
                <w:sz w:val="20"/>
                <w:szCs w:val="20"/>
              </w:rPr>
            </w:pPr>
            <w:r w:rsidRPr="00E97923">
              <w:rPr>
                <w:rFonts w:ascii="Calibri" w:hAnsi="Calibri" w:cs="Calibri"/>
                <w:b/>
                <w:bCs/>
                <w:sz w:val="20"/>
                <w:szCs w:val="20"/>
              </w:rPr>
              <w:t>Warunek równoważności</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Współpraca z procesorami o architekturze x86-64.</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Instalacja i użytkowanie aplikacji 32-bit. i 64-bit. na dostarczonym systemie operacyjnym.</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 ramach dostarczonej licencji zawarta możliwość instalacji oprogramowania na serwerze wyposażonym w 8 rdzeni.</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Obsługa 64 procesorów fizycznych oraz co najmniej 64 procesorów logicznych (wirtualnych).</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Pojemność obsługiwanej pamięci RAM w ramach jednej instancji systemu operacyjnego - co najmniej 4TB.</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Obsługa dostępu wielościeżkowego do zasobów LAN poprzez kontrolery Gigabit Ethernet, w trybie równoważenia obciążenia łącza (load balancing) i redundancji łącza (failover) – natywnie lub z wykorzystaniem sterowników producenta sprzętu.</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Praca w roli klienta domeny Microsoft Active Directory.</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Zawarta możliwość uruchomienia roli kontrolera domeny Microsoft Active Directory na poziomie Microsoft Windows Server 2012.</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Zawarta możliwość uruchomienia roli serwera DHCP, w tym funkcji klastrowania serwera DHCP (możliwość uruchomienia dwóch serwerów DHCP operujących jednocześnie na tej samej puli oferowanych adresów IP).</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Zawarta możliwość uruchomienia roli serwera DNS.</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Zawarta możliwość uruchomienia roli klienta i serwera czasu (NTP).</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Zawarta możliwość uruchomienia roli serwera plików z uwierzytelnieniem i autoryzacją dostępu w domenie Microsoft Active Directory.</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Zawarta możliwość uruchomienia roli serwera wydruku z uwierzytelnieniem i autoryzacją dostępu w domenie Microsoft Active Directory.</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Zawarta możliwość uruchomienia roli serwera stron WWW.</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 ramach dostarczonej licencji zawarte prawo do użytkowania i dostęp do oprogramowania oferowanego przez producenta systemu operacyjnego umożliwiającego wirtualizowanie zasobów sprzętowych serwera.</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 ramach dostarczonej licencji zawarte prawo do instalacji i użytkowania systemu operacyjnego na co najmniej dwóch maszynach wirtualnych.</w:t>
            </w:r>
            <w:bookmarkStart w:id="3" w:name="OLE_LINK8"/>
            <w:bookmarkStart w:id="4" w:name="OLE_LINK7"/>
            <w:bookmarkEnd w:id="3"/>
            <w:bookmarkEnd w:id="4"/>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 ramach dostarczonej licencji zawarte prawo do pobierania poprawek systemu operacyjnego.</w:t>
            </w:r>
          </w:p>
        </w:tc>
      </w:tr>
      <w:tr w:rsidR="00F76C29" w:rsidRPr="00E97923">
        <w:tc>
          <w:tcPr>
            <w:tcW w:w="524" w:type="dxa"/>
            <w:tcBorders>
              <w:left w:val="single" w:sz="2" w:space="0" w:color="000000"/>
              <w:bottom w:val="single" w:sz="2" w:space="0" w:color="000000"/>
            </w:tcBorders>
            <w:shd w:val="clear" w:color="auto" w:fill="BFBFBF" w:themeFill="background1" w:themeFillShade="BF"/>
          </w:tcPr>
          <w:p w:rsidR="00F76C29" w:rsidRPr="00E97923" w:rsidRDefault="00F76C29">
            <w:pPr>
              <w:pStyle w:val="Akapitzlist"/>
              <w:numPr>
                <w:ilvl w:val="0"/>
                <w:numId w:val="3"/>
              </w:numPr>
              <w:spacing w:after="0"/>
              <w:jc w:val="both"/>
              <w:rPr>
                <w:rFonts w:ascii="Calibri" w:eastAsiaTheme="majorEastAsia" w:hAnsi="Calibri" w:cs="Calibri"/>
                <w:bCs/>
                <w:sz w:val="20"/>
                <w:szCs w:val="20"/>
              </w:rPr>
            </w:pPr>
          </w:p>
        </w:tc>
        <w:tc>
          <w:tcPr>
            <w:tcW w:w="9120" w:type="dxa"/>
            <w:tcBorders>
              <w:left w:val="single" w:sz="2" w:space="0" w:color="000000"/>
              <w:bottom w:val="single" w:sz="2" w:space="0" w:color="000000"/>
              <w:right w:val="single" w:sz="2"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Wszystkie wymienione w tabeli parametry, role, funkcje, itp. systemu operacyjnego objęte są dostarczoną licencją (licencjami) i zawarte w dostarczonej wersji oprogramowania (nie wymagają ponoszenia przez Zamawiającego dodatkowych kosztów).</w:t>
            </w:r>
            <w:bookmarkStart w:id="5" w:name="OLE_LINK6"/>
            <w:bookmarkStart w:id="6" w:name="OLE_LINK5"/>
            <w:bookmarkEnd w:id="5"/>
            <w:bookmarkEnd w:id="6"/>
          </w:p>
        </w:tc>
      </w:tr>
    </w:tbl>
    <w:p w:rsidR="00F76C29" w:rsidRPr="00E97923" w:rsidRDefault="00F76C29">
      <w:pPr>
        <w:ind w:left="11"/>
        <w:jc w:val="both"/>
        <w:rPr>
          <w:rFonts w:ascii="Calibri" w:eastAsiaTheme="majorEastAsia" w:hAnsi="Calibri" w:cs="Calibri"/>
          <w:b/>
          <w:bCs/>
          <w:sz w:val="20"/>
          <w:szCs w:val="20"/>
        </w:rPr>
      </w:pPr>
    </w:p>
    <w:p w:rsidR="00F76C29" w:rsidRPr="00E97923" w:rsidRDefault="00F76C29">
      <w:pPr>
        <w:pStyle w:val="Nagwek3"/>
        <w:numPr>
          <w:ilvl w:val="0"/>
          <w:numId w:val="0"/>
        </w:numPr>
        <w:ind w:left="720" w:hanging="720"/>
        <w:rPr>
          <w:rFonts w:ascii="Calibri" w:eastAsiaTheme="majorEastAsia" w:hAnsi="Calibri" w:cs="Calibri"/>
          <w:sz w:val="20"/>
        </w:rPr>
      </w:pPr>
    </w:p>
    <w:p w:rsidR="00F76C29" w:rsidRPr="00E97923" w:rsidRDefault="0045386C" w:rsidP="0045386C">
      <w:pPr>
        <w:pStyle w:val="Nagwek3"/>
        <w:numPr>
          <w:ilvl w:val="0"/>
          <w:numId w:val="0"/>
        </w:numPr>
        <w:ind w:left="720" w:hanging="720"/>
        <w:rPr>
          <w:rFonts w:ascii="Calibri" w:eastAsiaTheme="majorEastAsia" w:hAnsi="Calibri" w:cs="Calibri"/>
          <w:sz w:val="20"/>
        </w:rPr>
      </w:pPr>
      <w:r>
        <w:rPr>
          <w:rFonts w:ascii="Calibri" w:eastAsiaTheme="majorEastAsia" w:hAnsi="Calibri" w:cs="Calibri"/>
          <w:sz w:val="20"/>
        </w:rPr>
        <w:t xml:space="preserve">Poz. 4 - </w:t>
      </w:r>
      <w:r w:rsidR="00FC682F" w:rsidRPr="00E97923">
        <w:rPr>
          <w:rFonts w:ascii="Calibri" w:eastAsiaTheme="majorEastAsia" w:hAnsi="Calibri" w:cs="Calibri"/>
          <w:sz w:val="20"/>
        </w:rPr>
        <w:t>Licencja oprogramowania serwera relacyjnej bazy danych Microsoft SQL Server 2016 Standard GOV lub produkt równoważny:</w:t>
      </w:r>
    </w:p>
    <w:p w:rsidR="00F76C29" w:rsidRPr="00E97923" w:rsidRDefault="00F76C29">
      <w:pPr>
        <w:rPr>
          <w:rFonts w:ascii="Calibri" w:hAnsi="Calibri" w:cs="Calibri"/>
          <w:sz w:val="20"/>
          <w:szCs w:val="20"/>
          <w:lang w:eastAsia="pl-PL"/>
        </w:rPr>
      </w:pPr>
    </w:p>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
          <w:bCs/>
          <w:sz w:val="20"/>
          <w:szCs w:val="20"/>
        </w:rPr>
        <w:t>1 licencja</w:t>
      </w:r>
      <w:r w:rsidRPr="00E97923">
        <w:rPr>
          <w:rFonts w:ascii="Calibri" w:eastAsiaTheme="majorEastAsia" w:hAnsi="Calibri" w:cs="Calibri"/>
          <w:bCs/>
          <w:sz w:val="20"/>
          <w:szCs w:val="20"/>
        </w:rPr>
        <w:t xml:space="preserve"> oprogramowania dla instytucji samorządowych, na nośniku CD/DVD lub udostępnienie oprogramowania drogą elektroniczną poprzez dostęp do strony internetowej zawierającej dane oprogramowanie. Licencja – bez ograniczeń czasowych. Warunki licencjonowania muszą zezwalać zmianę wersji serwera relacyjnej bazy danych (SBD) na niższą z zachowaniem wsparcia technicznego oraz na przeniesienie licencji SBD na inny fizyczny serwer.</w:t>
      </w:r>
    </w:p>
    <w:tbl>
      <w:tblPr>
        <w:tblW w:w="96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524"/>
        <w:gridCol w:w="9121"/>
      </w:tblGrid>
      <w:tr w:rsidR="00F76C29" w:rsidRPr="00E97923">
        <w:trPr>
          <w:tblHeader/>
        </w:trPr>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76C29" w:rsidRPr="00E97923" w:rsidRDefault="00FC682F">
            <w:pPr>
              <w:jc w:val="both"/>
              <w:rPr>
                <w:rFonts w:ascii="Calibri" w:hAnsi="Calibri" w:cs="Calibri"/>
                <w:b/>
                <w:bCs/>
                <w:sz w:val="20"/>
                <w:szCs w:val="20"/>
              </w:rPr>
            </w:pPr>
            <w:r w:rsidRPr="00E97923">
              <w:rPr>
                <w:rFonts w:ascii="Calibri" w:hAnsi="Calibri" w:cs="Calibri"/>
                <w:b/>
                <w:bCs/>
                <w:sz w:val="20"/>
                <w:szCs w:val="20"/>
              </w:rPr>
              <w:t xml:space="preserve">Lp. </w:t>
            </w:r>
          </w:p>
        </w:tc>
        <w:tc>
          <w:tcPr>
            <w:tcW w:w="91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76C29" w:rsidRPr="00E97923" w:rsidRDefault="00FC682F">
            <w:pPr>
              <w:jc w:val="both"/>
              <w:rPr>
                <w:rFonts w:ascii="Calibri" w:eastAsiaTheme="majorEastAsia" w:hAnsi="Calibri" w:cs="Calibri"/>
                <w:bCs/>
                <w:sz w:val="20"/>
                <w:szCs w:val="20"/>
              </w:rPr>
            </w:pPr>
            <w:r w:rsidRPr="00E97923">
              <w:rPr>
                <w:rFonts w:ascii="Calibri" w:hAnsi="Calibri" w:cs="Calibri"/>
                <w:b/>
                <w:bCs/>
                <w:sz w:val="20"/>
                <w:szCs w:val="20"/>
              </w:rPr>
              <w:t>Warunek równoważności</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Dedykowana sesja administracyjna - SBD musi pozwalać na zdalne połączenie sesji administratora systemu bazy danych w sposób niezależny od normalnych sesji klientów.</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automatycznej aktualizacji systemu - SBD musi umożliwiać automatyczne ściąganie i instalację wszelkich poprawek producenta oprogramowania (redukowania zagrożeń powodowanych przez znane luki w zabezpieczeniach oprogramowania).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SBD musi umożliwiać tworzenie klastrów niezawodnościowych.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Wysoka dostępność - SBD musi posiadać mechanizm pozwalający na duplikację bazy danych między dwiema lokalizacjami (podstawowa i zapasowa) przy zachowaniu następujących cech:</w:t>
            </w:r>
          </w:p>
          <w:p w:rsidR="00F76C29" w:rsidRPr="00E97923" w:rsidRDefault="00FC682F">
            <w:pPr>
              <w:pStyle w:val="Akapitzlist"/>
              <w:numPr>
                <w:ilvl w:val="0"/>
                <w:numId w:val="4"/>
              </w:numPr>
              <w:jc w:val="both"/>
              <w:rPr>
                <w:rFonts w:ascii="Calibri" w:eastAsiaTheme="majorEastAsia" w:hAnsi="Calibri" w:cs="Calibri"/>
                <w:bCs/>
                <w:sz w:val="20"/>
                <w:szCs w:val="20"/>
              </w:rPr>
            </w:pPr>
            <w:r w:rsidRPr="00E97923">
              <w:rPr>
                <w:rFonts w:ascii="Calibri" w:eastAsiaTheme="majorEastAsia" w:hAnsi="Calibri" w:cs="Calibri"/>
                <w:bCs/>
                <w:sz w:val="20"/>
                <w:szCs w:val="20"/>
              </w:rPr>
              <w:t>bez specjalnego sprzętu (rozwiązanie tylko programowe oparte o sam SBD),</w:t>
            </w:r>
          </w:p>
          <w:p w:rsidR="00F76C29" w:rsidRPr="00E97923" w:rsidRDefault="00FC682F">
            <w:pPr>
              <w:pStyle w:val="Akapitzlist"/>
              <w:numPr>
                <w:ilvl w:val="0"/>
                <w:numId w:val="4"/>
              </w:numPr>
              <w:jc w:val="both"/>
              <w:rPr>
                <w:rFonts w:ascii="Calibri" w:eastAsiaTheme="majorEastAsia" w:hAnsi="Calibri" w:cs="Calibri"/>
                <w:bCs/>
                <w:sz w:val="20"/>
                <w:szCs w:val="20"/>
              </w:rPr>
            </w:pPr>
            <w:r w:rsidRPr="00E97923">
              <w:rPr>
                <w:rFonts w:ascii="Calibri" w:eastAsiaTheme="majorEastAsia" w:hAnsi="Calibri" w:cs="Calibri"/>
                <w:bCs/>
                <w:sz w:val="20"/>
                <w:szCs w:val="20"/>
              </w:rPr>
              <w:t>niezawodne powielanie danych w czasie rzeczywistym (potwierdzone transakcje bazodanowe),</w:t>
            </w:r>
          </w:p>
          <w:p w:rsidR="00F76C29" w:rsidRPr="00E97923" w:rsidRDefault="00FC682F">
            <w:pPr>
              <w:pStyle w:val="Akapitzlist"/>
              <w:numPr>
                <w:ilvl w:val="0"/>
                <w:numId w:val="4"/>
              </w:numPr>
              <w:jc w:val="both"/>
              <w:rPr>
                <w:rFonts w:ascii="Calibri" w:eastAsiaTheme="majorEastAsia" w:hAnsi="Calibri" w:cs="Calibri"/>
                <w:bCs/>
                <w:sz w:val="20"/>
                <w:szCs w:val="20"/>
              </w:rPr>
            </w:pPr>
            <w:r w:rsidRPr="00E97923">
              <w:rPr>
                <w:rFonts w:ascii="Calibri" w:eastAsiaTheme="majorEastAsia" w:hAnsi="Calibri" w:cs="Calibri"/>
                <w:bCs/>
                <w:sz w:val="20"/>
                <w:szCs w:val="20"/>
              </w:rPr>
              <w:lastRenderedPageBreak/>
              <w:t>klienci bazy danych automatycznie korzystają z bazy zapasowej w przypadku awarii bazy podstawowej bez zmian w aplikacjach.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Kompresja kopii zapasowych - SBD musi pozwalać na kompresję kopii zapasowej danych (backup) w trakcie jej tworzenia. Powinna to być cecha SBD niezależna od funkcji systemu operacyjnego ani od sprzętowego rozwiązania archiwizacji danych.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F76C29" w:rsidRPr="00E97923" w:rsidRDefault="00FC682F">
            <w:pPr>
              <w:pStyle w:val="Akapitzlist"/>
              <w:numPr>
                <w:ilvl w:val="0"/>
                <w:numId w:val="5"/>
              </w:numPr>
              <w:jc w:val="both"/>
              <w:rPr>
                <w:rFonts w:ascii="Calibri" w:eastAsiaTheme="majorEastAsia" w:hAnsi="Calibri" w:cs="Calibri"/>
                <w:bCs/>
                <w:sz w:val="20"/>
                <w:szCs w:val="20"/>
              </w:rPr>
            </w:pPr>
            <w:r w:rsidRPr="00E97923">
              <w:rPr>
                <w:rFonts w:ascii="Calibri" w:eastAsiaTheme="majorEastAsia" w:hAnsi="Calibri" w:cs="Calibri"/>
                <w:bCs/>
                <w:sz w:val="20"/>
                <w:szCs w:val="20"/>
              </w:rPr>
              <w:t>odczyt/zapis danych na dysku dla zapytań wykonywanych do baz danych (w celu wychwytywania zapytań znacząco obciążających system),</w:t>
            </w:r>
          </w:p>
          <w:p w:rsidR="00F76C29" w:rsidRPr="00E97923" w:rsidRDefault="00FC682F">
            <w:pPr>
              <w:pStyle w:val="Akapitzlist"/>
              <w:numPr>
                <w:ilvl w:val="0"/>
                <w:numId w:val="5"/>
              </w:numPr>
              <w:jc w:val="both"/>
              <w:rPr>
                <w:rFonts w:ascii="Calibri" w:eastAsiaTheme="majorEastAsia" w:hAnsi="Calibri" w:cs="Calibri"/>
                <w:bCs/>
                <w:sz w:val="20"/>
                <w:szCs w:val="20"/>
              </w:rPr>
            </w:pPr>
            <w:r w:rsidRPr="00E97923">
              <w:rPr>
                <w:rFonts w:ascii="Calibri" w:eastAsiaTheme="majorEastAsia" w:hAnsi="Calibri" w:cs="Calibri"/>
                <w:bCs/>
                <w:sz w:val="20"/>
                <w:szCs w:val="20"/>
              </w:rPr>
              <w:t>wykonanie zapytania lub procedury trwające dłużej niż zdefiniowany czas (wychwytywanie długo trwających zapytań lub procedur),</w:t>
            </w:r>
          </w:p>
          <w:p w:rsidR="00F76C29" w:rsidRPr="00E97923" w:rsidRDefault="00FC682F">
            <w:pPr>
              <w:pStyle w:val="Akapitzlist"/>
              <w:numPr>
                <w:ilvl w:val="0"/>
                <w:numId w:val="5"/>
              </w:numPr>
              <w:jc w:val="both"/>
              <w:rPr>
                <w:rFonts w:ascii="Calibri" w:eastAsiaTheme="majorEastAsia" w:hAnsi="Calibri" w:cs="Calibri"/>
                <w:bCs/>
                <w:sz w:val="20"/>
                <w:szCs w:val="20"/>
              </w:rPr>
            </w:pPr>
            <w:r w:rsidRPr="00E97923">
              <w:rPr>
                <w:rFonts w:ascii="Calibri" w:eastAsiaTheme="majorEastAsia" w:hAnsi="Calibri" w:cs="Calibri"/>
                <w:bCs/>
                <w:sz w:val="20"/>
                <w:szCs w:val="20"/>
              </w:rPr>
              <w:t>para zdarzeń zablokowanie/zwolnienie blokady na obiekcie bazy (w celu wychwytywania długotrwałych blokad obiektów bazy).</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Wsparcie dla technologii XML - SBD musi udostępniać mechanizmy składowania i obróbki danych w postaci struktur XML. W szczególności musi:</w:t>
            </w:r>
          </w:p>
          <w:p w:rsidR="00F76C29" w:rsidRPr="00E97923" w:rsidRDefault="00FC682F">
            <w:pPr>
              <w:pStyle w:val="Akapitzlist"/>
              <w:numPr>
                <w:ilvl w:val="0"/>
                <w:numId w:val="6"/>
              </w:numPr>
              <w:jc w:val="both"/>
              <w:rPr>
                <w:rFonts w:ascii="Calibri" w:eastAsiaTheme="majorEastAsia" w:hAnsi="Calibri" w:cs="Calibri"/>
                <w:bCs/>
                <w:sz w:val="20"/>
                <w:szCs w:val="20"/>
              </w:rPr>
            </w:pPr>
            <w:r w:rsidRPr="00E97923">
              <w:rPr>
                <w:rFonts w:ascii="Calibri" w:eastAsiaTheme="majorEastAsia" w:hAnsi="Calibri" w:cs="Calibri"/>
                <w:bCs/>
                <w:sz w:val="20"/>
                <w:szCs w:val="20"/>
              </w:rPr>
              <w:t>udostępniać typ danych do przechowywania kompletnych dokumentów XML w jednym polu tabeli,</w:t>
            </w:r>
          </w:p>
          <w:p w:rsidR="00F76C29" w:rsidRPr="00E97923" w:rsidRDefault="00FC682F">
            <w:pPr>
              <w:pStyle w:val="Akapitzlist"/>
              <w:numPr>
                <w:ilvl w:val="0"/>
                <w:numId w:val="6"/>
              </w:numPr>
              <w:jc w:val="both"/>
              <w:rPr>
                <w:rFonts w:ascii="Calibri" w:eastAsiaTheme="majorEastAsia" w:hAnsi="Calibri" w:cs="Calibri"/>
                <w:bCs/>
                <w:sz w:val="20"/>
                <w:szCs w:val="20"/>
              </w:rPr>
            </w:pPr>
            <w:r w:rsidRPr="00E97923">
              <w:rPr>
                <w:rFonts w:ascii="Calibri" w:eastAsiaTheme="majorEastAsia" w:hAnsi="Calibri" w:cs="Calibri"/>
                <w:bCs/>
                <w:sz w:val="20"/>
                <w:szCs w:val="20"/>
              </w:rPr>
              <w:t>udostępniać mechanizm walidacji struktur XML-owych względem jednego lub wielu szablonów XSD,</w:t>
            </w:r>
          </w:p>
          <w:p w:rsidR="00F76C29" w:rsidRPr="00E97923" w:rsidRDefault="00FC682F">
            <w:pPr>
              <w:pStyle w:val="Akapitzlist"/>
              <w:numPr>
                <w:ilvl w:val="0"/>
                <w:numId w:val="6"/>
              </w:numPr>
              <w:jc w:val="both"/>
              <w:rPr>
                <w:rFonts w:ascii="Calibri" w:eastAsiaTheme="majorEastAsia" w:hAnsi="Calibri" w:cs="Calibri"/>
                <w:bCs/>
                <w:sz w:val="20"/>
                <w:szCs w:val="20"/>
              </w:rPr>
            </w:pPr>
            <w:r w:rsidRPr="00E97923">
              <w:rPr>
                <w:rFonts w:ascii="Calibri" w:eastAsiaTheme="majorEastAsia" w:hAnsi="Calibri" w:cs="Calibri"/>
                <w:bCs/>
                <w:sz w:val="20"/>
                <w:szCs w:val="20"/>
              </w:rPr>
              <w:t>udostępniać język zapytań do struktur XML,</w:t>
            </w:r>
          </w:p>
          <w:p w:rsidR="00F76C29" w:rsidRPr="00E97923" w:rsidRDefault="00FC682F">
            <w:pPr>
              <w:pStyle w:val="Akapitzlist"/>
              <w:numPr>
                <w:ilvl w:val="0"/>
                <w:numId w:val="6"/>
              </w:numPr>
              <w:jc w:val="both"/>
              <w:rPr>
                <w:rFonts w:ascii="Calibri" w:eastAsiaTheme="majorEastAsia" w:hAnsi="Calibri" w:cs="Calibri"/>
                <w:bCs/>
                <w:sz w:val="20"/>
                <w:szCs w:val="20"/>
              </w:rPr>
            </w:pPr>
            <w:r w:rsidRPr="00E97923">
              <w:rPr>
                <w:rFonts w:ascii="Calibri" w:eastAsiaTheme="majorEastAsia" w:hAnsi="Calibri" w:cs="Calibri"/>
                <w:bCs/>
                <w:sz w:val="20"/>
                <w:szCs w:val="20"/>
              </w:rPr>
              <w:t>udostępniać język modyfikacji danych (DML) w strukturach XML (dodawanie, usuwanie i modyfikację zawartości struktur XML),</w:t>
            </w:r>
          </w:p>
          <w:p w:rsidR="00F76C29" w:rsidRPr="00E97923" w:rsidRDefault="00FC682F">
            <w:pPr>
              <w:pStyle w:val="Akapitzlist"/>
              <w:numPr>
                <w:ilvl w:val="0"/>
                <w:numId w:val="6"/>
              </w:numPr>
              <w:jc w:val="both"/>
              <w:rPr>
                <w:rFonts w:ascii="Calibri" w:eastAsiaTheme="majorEastAsia" w:hAnsi="Calibri" w:cs="Calibri"/>
                <w:bCs/>
                <w:sz w:val="20"/>
                <w:szCs w:val="20"/>
              </w:rPr>
            </w:pPr>
            <w:r w:rsidRPr="00E97923">
              <w:rPr>
                <w:rFonts w:ascii="Calibri" w:eastAsiaTheme="majorEastAsia" w:hAnsi="Calibri" w:cs="Calibri"/>
                <w:bCs/>
                <w:sz w:val="20"/>
                <w:szCs w:val="20"/>
              </w:rPr>
              <w:t>udostępniać możliwość indeksowania struktur XML-owych w celu optymalizacji wykonywania zapytań.</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F76C29" w:rsidRPr="00E97923" w:rsidRDefault="00FC682F">
            <w:pPr>
              <w:pStyle w:val="Akapitzlist"/>
              <w:numPr>
                <w:ilvl w:val="0"/>
                <w:numId w:val="7"/>
              </w:numPr>
              <w:jc w:val="both"/>
              <w:rPr>
                <w:rFonts w:ascii="Calibri" w:eastAsiaTheme="majorEastAsia" w:hAnsi="Calibri" w:cs="Calibri"/>
                <w:bCs/>
                <w:sz w:val="20"/>
                <w:szCs w:val="20"/>
              </w:rPr>
            </w:pPr>
            <w:r w:rsidRPr="00E97923">
              <w:rPr>
                <w:rFonts w:ascii="Calibri" w:eastAsiaTheme="majorEastAsia" w:hAnsi="Calibri" w:cs="Calibri"/>
                <w:bCs/>
                <w:sz w:val="20"/>
                <w:szCs w:val="20"/>
              </w:rPr>
              <w:t>zapewniać możliwość wykorzystywania szerokości i długości geograficznej do opisu lokalizacji obiektów,</w:t>
            </w:r>
          </w:p>
          <w:p w:rsidR="00F76C29" w:rsidRPr="00E97923" w:rsidRDefault="00FC682F">
            <w:pPr>
              <w:pStyle w:val="Akapitzlist"/>
              <w:numPr>
                <w:ilvl w:val="0"/>
                <w:numId w:val="7"/>
              </w:numPr>
              <w:jc w:val="both"/>
              <w:rPr>
                <w:rFonts w:ascii="Calibri" w:eastAsiaTheme="majorEastAsia" w:hAnsi="Calibri" w:cs="Calibri"/>
                <w:bCs/>
                <w:sz w:val="20"/>
                <w:szCs w:val="20"/>
              </w:rPr>
            </w:pPr>
            <w:r w:rsidRPr="00E97923">
              <w:rPr>
                <w:rFonts w:ascii="Calibri" w:eastAsiaTheme="majorEastAsia" w:hAnsi="Calibri" w:cs="Calibri"/>
                <w:bCs/>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F76C29" w:rsidRPr="00E97923" w:rsidRDefault="00FC682F">
            <w:pPr>
              <w:pStyle w:val="Akapitzlist"/>
              <w:numPr>
                <w:ilvl w:val="0"/>
                <w:numId w:val="7"/>
              </w:numPr>
              <w:jc w:val="both"/>
              <w:rPr>
                <w:rFonts w:ascii="Calibri" w:eastAsiaTheme="majorEastAsia" w:hAnsi="Calibri" w:cs="Calibri"/>
                <w:bCs/>
                <w:sz w:val="20"/>
                <w:szCs w:val="20"/>
              </w:rPr>
            </w:pPr>
            <w:r w:rsidRPr="00E97923">
              <w:rPr>
                <w:rFonts w:ascii="Calibri" w:eastAsiaTheme="majorEastAsia" w:hAnsi="Calibri" w:cs="Calibri"/>
                <w:bCs/>
                <w:sz w:val="20"/>
                <w:szCs w:val="20"/>
              </w:rPr>
              <w:t>obsługa geometrycznych i geograficznych typów danych powinna być dostępna z poziomu języka zapytań do systemu SBD,</w:t>
            </w:r>
          </w:p>
          <w:p w:rsidR="00F76C29" w:rsidRPr="00E97923" w:rsidRDefault="00FC682F">
            <w:pPr>
              <w:pStyle w:val="Akapitzlist"/>
              <w:numPr>
                <w:ilvl w:val="0"/>
                <w:numId w:val="7"/>
              </w:numPr>
              <w:jc w:val="both"/>
              <w:rPr>
                <w:rFonts w:ascii="Calibri" w:eastAsiaTheme="majorEastAsia" w:hAnsi="Calibri" w:cs="Calibri"/>
                <w:bCs/>
                <w:sz w:val="20"/>
                <w:szCs w:val="20"/>
              </w:rPr>
            </w:pPr>
            <w:r w:rsidRPr="00E97923">
              <w:rPr>
                <w:rFonts w:ascii="Calibri" w:eastAsiaTheme="majorEastAsia" w:hAnsi="Calibri" w:cs="Calibri"/>
                <w:bCs/>
                <w:sz w:val="20"/>
                <w:szCs w:val="20"/>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tworzenia rekursywnych zapytań do bazy danych - SBD musi udostępniać wbudowany mechanizm umożlwiający tworzenie rekursywnych zapytań do bazy danych bez potrzeby pisania specjalnych procedur i wywoływania ich w sposób rekurencyjny.</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Raportowanie zależności między obiektami - SBD musi udostępniać informacje o wzajemnych zależnościach między obiektami bazy danych.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mechanizm debuggowania tworzonego rozwiązania,</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mechanizm stawiania „pułapek” (breakpoints),</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mechanizm logowania do pliku wykonywanych przez transformację operacji,</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wznowienia wykonania transformacji od punktu, w którym przerwano jej wykonanie (np. w wyniku pojawienia się błędu),</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cofania i ponawiania wprowadzonych przez użytkownika zmian podczas edycji transformacji (funkcja undo/redo)</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mechanizm analizy przetwarzanych danych (możliwość podglądu rekordów przetwarzanych w strumieniu danych oraz tworzenia statystyk, np. histogram wartości w przetwarzanych kolumnach tabeli),</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mechanizm automatyzacji publikowania utworzonych transformacji na serwerze bazy danych (w szczególności tworzenia wersji instalacyjnej pozwalającej automatyzować proces publikacji na wielu serwerach),</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F76C29" w:rsidRPr="00E97923" w:rsidRDefault="00FC682F">
            <w:pPr>
              <w:pStyle w:val="Akapitzlist"/>
              <w:numPr>
                <w:ilvl w:val="0"/>
                <w:numId w:val="8"/>
              </w:numPr>
              <w:jc w:val="both"/>
              <w:rPr>
                <w:rFonts w:ascii="Calibri" w:eastAsiaTheme="majorEastAsia" w:hAnsi="Calibri" w:cs="Calibri"/>
                <w:bCs/>
                <w:sz w:val="20"/>
                <w:szCs w:val="20"/>
              </w:rPr>
            </w:pPr>
            <w:r w:rsidRPr="00E97923">
              <w:rPr>
                <w:rFonts w:ascii="Calibri" w:eastAsiaTheme="majorEastAsia" w:hAnsi="Calibri" w:cs="Calibri"/>
                <w:bCs/>
                <w:sz w:val="20"/>
                <w:szCs w:val="20"/>
              </w:rPr>
              <w:t>mechanizm mapowania kolumn wykorzystujący ich nazwę i typ danych do automatycznego przemapowania kolumn w sytuacji podmiany źródła danych.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Wbudowany system analityczny musi posiadać narzędzie do rejestracji i śledzenia zapytań wykonywanych do baz analitycznych.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Wbudowany system analityczny musi obsługiwać wielojęzyczność (tworzenie obiektów wielowymiarowych w wielu językach – w zależności od ustawień na komputerze klienta).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raporty parametryzowane,</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cache raportów (generacja raportów bez dostępu do źródła danych),</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cache raportów parametryzowanych (generacja raportów bez dostępu do źródła danych, z różnymi wartościami parametrów),</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współdzielenie predefiniowanych zapytań do źródeł danych,</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wizualizację danych analitycznych na mapach geograficznych (w tym import map w formacie ESRI Shape File),</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opublikowania elementu raportu (wykresu, tabeli) we współdzielonej bibliotece, z której mogą korzystać inni użytkownicy tworzący nowy raport,</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wizualizacji wskaźników KPI,</w:t>
            </w:r>
          </w:p>
          <w:p w:rsidR="00F76C29" w:rsidRPr="00E97923" w:rsidRDefault="00FC682F">
            <w:pPr>
              <w:pStyle w:val="Akapitzlist"/>
              <w:numPr>
                <w:ilvl w:val="0"/>
                <w:numId w:val="9"/>
              </w:numPr>
              <w:jc w:val="both"/>
              <w:rPr>
                <w:rFonts w:ascii="Calibri" w:eastAsiaTheme="majorEastAsia" w:hAnsi="Calibri" w:cs="Calibri"/>
                <w:bCs/>
                <w:sz w:val="20"/>
                <w:szCs w:val="20"/>
              </w:rPr>
            </w:pPr>
            <w:r w:rsidRPr="00E97923">
              <w:rPr>
                <w:rFonts w:ascii="Calibri" w:eastAsiaTheme="majorEastAsia" w:hAnsi="Calibri" w:cs="Calibri"/>
                <w:bCs/>
                <w:sz w:val="20"/>
                <w:szCs w:val="20"/>
              </w:rPr>
              <w:t>możliwość wizualizacji danych w postaci obiektów sparkline.</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Środowisko raportowania powinno być osadzone i administrowane z wykorzystaniem mechanizmu Web Serwisów (Web Services).</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Wymagane jest generowanie raportów w formatach: XML, PDF, Microsoft Excel, Microsoft Word, HTML, TIFF. Dodatkowo raporty powinny być eksportowane w formacie Atom data feeds, które można będzie wykorzystać jako źródło danych w innych aplikacjach.</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SBD musi umożliwiać wysyłkę raportów drogą mailową w wybranym formacie (subskrypcja).</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Wbudowany system raportowania musi posiadać rozszerzalną architekturę oraz otwarte interfejsy do osadzania raportów oraz do integrowania rozwiązania z różnorodnymi środowiskami IT.</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W celu zwiększenia wydajności przetwarzania system bazy danych musi posiadać wbudowaną funkcjonalność pozwalającą na rozszerzenie cache’u przetwarzania w pamięci RAM o dodatkową przestrzeń na dysku SSD.</w:t>
            </w:r>
          </w:p>
        </w:tc>
      </w:tr>
      <w:tr w:rsidR="00F76C29" w:rsidRPr="00E97923">
        <w:tc>
          <w:tcPr>
            <w:tcW w:w="5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76C29">
            <w:pPr>
              <w:pStyle w:val="Akapitzlist"/>
              <w:numPr>
                <w:ilvl w:val="0"/>
                <w:numId w:val="10"/>
              </w:numPr>
              <w:spacing w:after="0"/>
              <w:jc w:val="both"/>
              <w:rPr>
                <w:rFonts w:ascii="Calibri" w:eastAsiaTheme="majorEastAsia" w:hAnsi="Calibri" w:cs="Calibri"/>
                <w:bCs/>
                <w:sz w:val="20"/>
                <w:szCs w:val="20"/>
              </w:rPr>
            </w:pPr>
          </w:p>
        </w:tc>
        <w:tc>
          <w:tcPr>
            <w:tcW w:w="9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tc>
      </w:tr>
    </w:tbl>
    <w:p w:rsidR="00563D0C" w:rsidRPr="0045386C" w:rsidRDefault="00563D0C" w:rsidP="0045386C">
      <w:pPr>
        <w:rPr>
          <w:rFonts w:ascii="Calibri" w:hAnsi="Calibri" w:cs="Calibri"/>
          <w:sz w:val="20"/>
          <w:szCs w:val="20"/>
        </w:rPr>
      </w:pPr>
    </w:p>
    <w:p w:rsidR="00F76C29" w:rsidRPr="00E97923" w:rsidRDefault="0045386C" w:rsidP="0045386C">
      <w:pPr>
        <w:pStyle w:val="Nagwek3"/>
        <w:numPr>
          <w:ilvl w:val="0"/>
          <w:numId w:val="0"/>
        </w:numPr>
        <w:rPr>
          <w:rFonts w:ascii="Calibri" w:hAnsi="Calibri" w:cs="Calibri"/>
          <w:sz w:val="20"/>
        </w:rPr>
      </w:pPr>
      <w:r w:rsidRPr="0045386C">
        <w:rPr>
          <w:rFonts w:ascii="Calibri" w:eastAsiaTheme="minorHAnsi" w:hAnsi="Calibri" w:cs="Calibri"/>
          <w:sz w:val="20"/>
          <w:lang w:eastAsia="en-US"/>
        </w:rPr>
        <w:t xml:space="preserve">Poz. 6 - </w:t>
      </w:r>
      <w:r w:rsidR="00FC682F" w:rsidRPr="0045386C">
        <w:rPr>
          <w:rFonts w:ascii="Calibri" w:hAnsi="Calibri" w:cs="Calibri"/>
          <w:sz w:val="20"/>
        </w:rPr>
        <w:t>Oprogramowanie</w:t>
      </w:r>
      <w:r w:rsidR="00FC682F" w:rsidRPr="00E97923">
        <w:rPr>
          <w:rFonts w:ascii="Calibri" w:hAnsi="Calibri" w:cs="Calibri"/>
          <w:sz w:val="20"/>
        </w:rPr>
        <w:t xml:space="preserve"> informatyczne </w:t>
      </w:r>
      <w:proofErr w:type="spellStart"/>
      <w:r w:rsidR="00FC682F" w:rsidRPr="00E97923">
        <w:rPr>
          <w:rFonts w:ascii="Calibri" w:hAnsi="Calibri" w:cs="Calibri"/>
          <w:sz w:val="20"/>
        </w:rPr>
        <w:t>TeamViewer</w:t>
      </w:r>
      <w:proofErr w:type="spellEnd"/>
      <w:r w:rsidR="00FC682F" w:rsidRPr="00E97923">
        <w:rPr>
          <w:rFonts w:ascii="Calibri" w:hAnsi="Calibri" w:cs="Calibri"/>
          <w:sz w:val="20"/>
        </w:rPr>
        <w:t xml:space="preserve"> 13 Premium w polskiej wersji językowej lub równoważny: </w:t>
      </w:r>
    </w:p>
    <w:p w:rsidR="00F76C29" w:rsidRPr="00E97923" w:rsidRDefault="00F76C29">
      <w:pPr>
        <w:rPr>
          <w:rFonts w:ascii="Calibri" w:hAnsi="Calibri" w:cs="Calibri"/>
          <w:sz w:val="20"/>
          <w:szCs w:val="20"/>
          <w:lang w:eastAsia="pl-PL"/>
        </w:rPr>
      </w:pPr>
    </w:p>
    <w:p w:rsidR="00F76C29" w:rsidRPr="0045386C" w:rsidRDefault="00FC682F" w:rsidP="0045386C">
      <w:pPr>
        <w:rPr>
          <w:rFonts w:ascii="Calibri" w:hAnsi="Calibri" w:cs="Calibri"/>
          <w:sz w:val="20"/>
          <w:szCs w:val="20"/>
        </w:rPr>
      </w:pPr>
      <w:r w:rsidRPr="00E97923">
        <w:rPr>
          <w:rFonts w:ascii="Calibri" w:hAnsi="Calibri" w:cs="Calibri"/>
          <w:b/>
          <w:sz w:val="20"/>
          <w:szCs w:val="20"/>
        </w:rPr>
        <w:t>1 licencja</w:t>
      </w:r>
      <w:r w:rsidRPr="00E97923">
        <w:rPr>
          <w:rFonts w:ascii="Calibri" w:hAnsi="Calibri" w:cs="Calibri"/>
          <w:sz w:val="20"/>
          <w:szCs w:val="20"/>
        </w:rPr>
        <w:t xml:space="preserve"> oprogramowania, na nośniku CD lub DVD lub udostępnienie oprogramowania drogą elektroniczną poprzez dostęp do strony internetowej zawierającej dane oprogramowanie. Licencja – subskrypcja roczna.</w:t>
      </w:r>
    </w:p>
    <w:tbl>
      <w:tblPr>
        <w:tblW w:w="9539"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791"/>
        <w:gridCol w:w="8748"/>
      </w:tblGrid>
      <w:tr w:rsidR="00F76C29" w:rsidRPr="00E97923" w:rsidTr="00483AE4">
        <w:trPr>
          <w:trHeight w:val="370"/>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pStyle w:val="Akapitzlist"/>
              <w:spacing w:after="0"/>
              <w:ind w:left="360"/>
              <w:jc w:val="both"/>
              <w:rPr>
                <w:rFonts w:ascii="Calibri" w:eastAsiaTheme="majorEastAsia" w:hAnsi="Calibri" w:cs="Calibri"/>
                <w:bCs/>
                <w:sz w:val="20"/>
                <w:szCs w:val="20"/>
              </w:rPr>
            </w:pPr>
            <w:r w:rsidRPr="00E97923">
              <w:rPr>
                <w:rFonts w:ascii="Calibri" w:eastAsiaTheme="majorEastAsia" w:hAnsi="Calibri" w:cs="Calibri"/>
                <w:bCs/>
                <w:sz w:val="20"/>
                <w:szCs w:val="20"/>
              </w:rPr>
              <w:t>L.P</w:t>
            </w:r>
          </w:p>
        </w:tc>
        <w:tc>
          <w:tcPr>
            <w:tcW w:w="87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76C29" w:rsidRPr="00E97923" w:rsidRDefault="00FC682F">
            <w:pPr>
              <w:ind w:left="11"/>
              <w:jc w:val="both"/>
              <w:rPr>
                <w:rFonts w:ascii="Calibri" w:eastAsiaTheme="majorEastAsia" w:hAnsi="Calibri" w:cs="Calibri"/>
                <w:bCs/>
                <w:sz w:val="20"/>
                <w:szCs w:val="20"/>
              </w:rPr>
            </w:pPr>
            <w:r w:rsidRPr="00E97923">
              <w:rPr>
                <w:rFonts w:ascii="Calibri" w:eastAsiaTheme="majorEastAsia" w:hAnsi="Calibri" w:cs="Calibri"/>
                <w:bCs/>
                <w:sz w:val="20"/>
                <w:szCs w:val="20"/>
              </w:rPr>
              <w:t xml:space="preserve">Warunki równoważności </w:t>
            </w:r>
          </w:p>
        </w:tc>
      </w:tr>
      <w:tr w:rsidR="00F76C29" w:rsidRPr="00E97923" w:rsidTr="0045386C">
        <w:trPr>
          <w:trHeight w:val="303"/>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1.</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rPr>
                <w:rFonts w:ascii="Calibri" w:hAnsi="Calibri" w:cs="Calibri"/>
                <w:sz w:val="20"/>
                <w:szCs w:val="20"/>
              </w:rPr>
            </w:pPr>
            <w:r w:rsidRPr="00E97923">
              <w:rPr>
                <w:rFonts w:ascii="Calibri" w:hAnsi="Calibri" w:cs="Calibri"/>
                <w:sz w:val="20"/>
                <w:szCs w:val="20"/>
              </w:rPr>
              <w:t>Zdalne wsparcie – bez konieczności instalacji oprogramowania u klienta</w:t>
            </w:r>
          </w:p>
        </w:tc>
      </w:tr>
      <w:tr w:rsidR="00F76C29" w:rsidRPr="00E97923" w:rsidTr="0045386C">
        <w:trPr>
          <w:trHeight w:val="477"/>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2.</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eastAsiaTheme="majorEastAsia" w:hAnsi="Calibri" w:cs="Calibri"/>
                <w:bCs/>
                <w:sz w:val="20"/>
                <w:szCs w:val="20"/>
              </w:rPr>
            </w:pPr>
            <w:r w:rsidRPr="00E97923">
              <w:rPr>
                <w:rFonts w:ascii="Calibri" w:hAnsi="Calibri" w:cs="Calibri"/>
                <w:sz w:val="20"/>
                <w:szCs w:val="20"/>
              </w:rPr>
              <w:t>Zdalne zarządzanie komputerami – dostęp do zdalnych komputerów i serwerów przez całą dobę</w:t>
            </w:r>
            <w:r w:rsidRPr="00E97923">
              <w:rPr>
                <w:rFonts w:ascii="Calibri" w:eastAsiaTheme="majorEastAsia" w:hAnsi="Calibri" w:cs="Calibri"/>
                <w:bCs/>
                <w:sz w:val="20"/>
                <w:szCs w:val="20"/>
              </w:rPr>
              <w:t>.</w:t>
            </w:r>
          </w:p>
        </w:tc>
      </w:tr>
      <w:tr w:rsidR="00F76C29" w:rsidRPr="00E97923" w:rsidTr="0045386C">
        <w:trPr>
          <w:trHeight w:val="446"/>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3.</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Zdalny dostęp – dostęp do danych i programów z dowolnego miejsca i w dowolnej chwili,</w:t>
            </w:r>
          </w:p>
        </w:tc>
      </w:tr>
      <w:tr w:rsidR="00F76C29" w:rsidRPr="00E97923" w:rsidTr="0045386C">
        <w:trPr>
          <w:trHeight w:val="455"/>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4.</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Biuro domowe – dostęp z domu do komputera w biurze,</w:t>
            </w:r>
          </w:p>
        </w:tc>
      </w:tr>
      <w:tr w:rsidR="00F76C29" w:rsidRPr="00E97923" w:rsidTr="0045386C">
        <w:trPr>
          <w:trHeight w:val="293"/>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5.</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Meetingi online – z udziałem nawet 50 uczestników,</w:t>
            </w:r>
          </w:p>
        </w:tc>
      </w:tr>
      <w:tr w:rsidR="00F76C29" w:rsidRPr="00E97923" w:rsidTr="0045386C">
        <w:trPr>
          <w:trHeight w:val="343"/>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6.</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Prezentacje – nowe możliwości prezentacji oferty,</w:t>
            </w:r>
          </w:p>
        </w:tc>
      </w:tr>
      <w:tr w:rsidR="00F76C29" w:rsidRPr="00E97923" w:rsidTr="0045386C">
        <w:trPr>
          <w:trHeight w:val="251"/>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483AE4">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7</w:t>
            </w:r>
            <w:r w:rsidR="00FC682F"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Sesje szkoleniowe – redukcja kosztów dzięki szkoleniom online,</w:t>
            </w:r>
          </w:p>
        </w:tc>
      </w:tr>
      <w:tr w:rsidR="00F76C29" w:rsidRPr="00E97923" w:rsidTr="0045386C">
        <w:trPr>
          <w:trHeight w:val="429"/>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483AE4">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8</w:t>
            </w:r>
            <w:r w:rsidR="00FC682F"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Praca zespołowa – współtworzenie dokumentów online w czasie rzeczywistym,</w:t>
            </w:r>
          </w:p>
        </w:tc>
      </w:tr>
      <w:tr w:rsidR="00F76C29" w:rsidRPr="00E97923" w:rsidTr="0045386C">
        <w:trPr>
          <w:trHeight w:val="437"/>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483AE4">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9</w:t>
            </w:r>
            <w:r w:rsidR="00FC682F"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Wszystkie platformy sprzętowe,</w:t>
            </w:r>
          </w:p>
        </w:tc>
      </w:tr>
      <w:tr w:rsidR="00F76C29" w:rsidRPr="00E97923" w:rsidTr="0045386C">
        <w:trPr>
          <w:trHeight w:val="317"/>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1</w:t>
            </w:r>
            <w:r w:rsidR="00483AE4" w:rsidRPr="00E97923">
              <w:rPr>
                <w:rFonts w:ascii="Calibri" w:eastAsiaTheme="majorEastAsia" w:hAnsi="Calibri" w:cs="Calibri"/>
                <w:bCs/>
                <w:sz w:val="20"/>
                <w:szCs w:val="20"/>
              </w:rPr>
              <w:t>0.</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Wszystkie systemy operacyjne</w:t>
            </w:r>
          </w:p>
        </w:tc>
      </w:tr>
      <w:tr w:rsidR="00F76C29" w:rsidRPr="00E97923" w:rsidTr="0045386C">
        <w:trPr>
          <w:trHeight w:val="353"/>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1</w:t>
            </w:r>
            <w:r w:rsidR="00483AE4" w:rsidRPr="00E97923">
              <w:rPr>
                <w:rFonts w:ascii="Calibri" w:eastAsiaTheme="majorEastAsia" w:hAnsi="Calibri" w:cs="Calibri"/>
                <w:bCs/>
                <w:sz w:val="20"/>
                <w:szCs w:val="20"/>
              </w:rPr>
              <w:t>1</w:t>
            </w:r>
            <w:r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Rejestrowanie sesji z audio oraz konwerter do AVI,</w:t>
            </w:r>
          </w:p>
        </w:tc>
      </w:tr>
      <w:tr w:rsidR="00F76C29" w:rsidRPr="00E97923" w:rsidTr="0045386C">
        <w:trPr>
          <w:trHeight w:val="389"/>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1</w:t>
            </w:r>
            <w:r w:rsidR="00483AE4" w:rsidRPr="00E97923">
              <w:rPr>
                <w:rFonts w:ascii="Calibri" w:eastAsiaTheme="majorEastAsia" w:hAnsi="Calibri" w:cs="Calibri"/>
                <w:bCs/>
                <w:sz w:val="20"/>
                <w:szCs w:val="20"/>
              </w:rPr>
              <w:t>2</w:t>
            </w:r>
            <w:r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Lista komputerów i kontaktów do połączenia jednym kliknięciem</w:t>
            </w:r>
          </w:p>
        </w:tc>
      </w:tr>
      <w:tr w:rsidR="00F76C29" w:rsidRPr="00E97923" w:rsidTr="0045386C">
        <w:trPr>
          <w:trHeight w:val="214"/>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1</w:t>
            </w:r>
            <w:r w:rsidR="00483AE4" w:rsidRPr="00E97923">
              <w:rPr>
                <w:rFonts w:ascii="Calibri" w:eastAsiaTheme="majorEastAsia" w:hAnsi="Calibri" w:cs="Calibri"/>
                <w:bCs/>
                <w:sz w:val="20"/>
                <w:szCs w:val="20"/>
              </w:rPr>
              <w:t>3</w:t>
            </w:r>
            <w:r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Równoczesna praca administratorów dzięki niezależnym identyfikatorom</w:t>
            </w:r>
          </w:p>
        </w:tc>
      </w:tr>
      <w:tr w:rsidR="00F76C29" w:rsidRPr="00E97923" w:rsidTr="0045386C">
        <w:trPr>
          <w:trHeight w:val="214"/>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FC682F">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1</w:t>
            </w:r>
            <w:r w:rsidR="00483AE4" w:rsidRPr="00E97923">
              <w:rPr>
                <w:rFonts w:ascii="Calibri" w:eastAsiaTheme="majorEastAsia" w:hAnsi="Calibri" w:cs="Calibri"/>
                <w:bCs/>
                <w:sz w:val="20"/>
                <w:szCs w:val="20"/>
              </w:rPr>
              <w:t>4</w:t>
            </w:r>
            <w:r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Kontrola konta użytkownika</w:t>
            </w:r>
          </w:p>
        </w:tc>
      </w:tr>
      <w:tr w:rsidR="00F76C29" w:rsidRPr="00E97923" w:rsidTr="0045386C">
        <w:trPr>
          <w:trHeight w:val="214"/>
        </w:trPr>
        <w:tc>
          <w:tcPr>
            <w:tcW w:w="7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C29" w:rsidRPr="00E97923" w:rsidRDefault="00483AE4">
            <w:pPr>
              <w:spacing w:after="0"/>
              <w:jc w:val="both"/>
              <w:rPr>
                <w:rFonts w:ascii="Calibri" w:eastAsiaTheme="majorEastAsia" w:hAnsi="Calibri" w:cs="Calibri"/>
                <w:bCs/>
                <w:sz w:val="20"/>
                <w:szCs w:val="20"/>
              </w:rPr>
            </w:pPr>
            <w:r w:rsidRPr="00E97923">
              <w:rPr>
                <w:rFonts w:ascii="Calibri" w:eastAsiaTheme="majorEastAsia" w:hAnsi="Calibri" w:cs="Calibri"/>
                <w:bCs/>
                <w:sz w:val="20"/>
                <w:szCs w:val="20"/>
              </w:rPr>
              <w:t>15</w:t>
            </w:r>
            <w:r w:rsidR="00FC682F" w:rsidRPr="00E97923">
              <w:rPr>
                <w:rFonts w:ascii="Calibri" w:eastAsiaTheme="majorEastAsia" w:hAnsi="Calibri" w:cs="Calibri"/>
                <w:bCs/>
                <w:sz w:val="20"/>
                <w:szCs w:val="20"/>
              </w:rPr>
              <w:t>.</w:t>
            </w:r>
          </w:p>
        </w:tc>
        <w:tc>
          <w:tcPr>
            <w:tcW w:w="8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C29" w:rsidRPr="00E97923" w:rsidRDefault="00FC682F" w:rsidP="0045386C">
            <w:pPr>
              <w:spacing w:line="240" w:lineRule="auto"/>
              <w:ind w:left="11"/>
              <w:jc w:val="both"/>
              <w:rPr>
                <w:rFonts w:ascii="Calibri" w:hAnsi="Calibri" w:cs="Calibri"/>
                <w:sz w:val="20"/>
                <w:szCs w:val="20"/>
              </w:rPr>
            </w:pPr>
            <w:r w:rsidRPr="00E97923">
              <w:rPr>
                <w:rFonts w:ascii="Calibri" w:hAnsi="Calibri" w:cs="Calibri"/>
                <w:sz w:val="20"/>
                <w:szCs w:val="20"/>
              </w:rPr>
              <w:t>Współpraca z urządzeniami mobilnymi Android oraz IOS</w:t>
            </w:r>
          </w:p>
        </w:tc>
      </w:tr>
    </w:tbl>
    <w:p w:rsidR="00F76C29" w:rsidRPr="00BF64B6" w:rsidRDefault="00F76C29" w:rsidP="00BF64B6">
      <w:pPr>
        <w:rPr>
          <w:rFonts w:ascii="Calibri" w:hAnsi="Calibri" w:cs="Calibri"/>
          <w:sz w:val="20"/>
          <w:szCs w:val="20"/>
        </w:rPr>
      </w:pPr>
    </w:p>
    <w:sectPr w:rsidR="00F76C29" w:rsidRPr="00BF64B6">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C6D" w:rsidRDefault="00563C6D" w:rsidP="004B7515">
      <w:pPr>
        <w:spacing w:after="0" w:line="240" w:lineRule="auto"/>
      </w:pPr>
      <w:r>
        <w:separator/>
      </w:r>
    </w:p>
  </w:endnote>
  <w:endnote w:type="continuationSeparator" w:id="0">
    <w:p w:rsidR="00563C6D" w:rsidRDefault="00563C6D" w:rsidP="004B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22496"/>
      <w:docPartObj>
        <w:docPartGallery w:val="Page Numbers (Bottom of Page)"/>
        <w:docPartUnique/>
      </w:docPartObj>
    </w:sdtPr>
    <w:sdtEndPr/>
    <w:sdtContent>
      <w:sdt>
        <w:sdtPr>
          <w:id w:val="-1705238520"/>
          <w:docPartObj>
            <w:docPartGallery w:val="Page Numbers (Top of Page)"/>
            <w:docPartUnique/>
          </w:docPartObj>
        </w:sdtPr>
        <w:sdtEndPr/>
        <w:sdtContent>
          <w:p w:rsidR="004B7515" w:rsidRDefault="004B7515" w:rsidP="004B7515">
            <w:pPr>
              <w:pStyle w:val="Stopka"/>
              <w:ind w:left="3960" w:firstLine="3828"/>
            </w:pPr>
            <w:r>
              <w:rPr>
                <w:b/>
                <w:bCs/>
                <w:sz w:val="24"/>
                <w:szCs w:val="24"/>
              </w:rPr>
              <w:fldChar w:fldCharType="begin"/>
            </w:r>
            <w:r>
              <w:rPr>
                <w:b/>
                <w:bCs/>
              </w:rPr>
              <w:instrText>PAGE</w:instrText>
            </w:r>
            <w:r>
              <w:rPr>
                <w:b/>
                <w:bCs/>
                <w:sz w:val="24"/>
                <w:szCs w:val="24"/>
              </w:rPr>
              <w:fldChar w:fldCharType="separate"/>
            </w:r>
            <w:r w:rsidR="00FE05BA">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05BA">
              <w:rPr>
                <w:b/>
                <w:bCs/>
                <w:noProof/>
              </w:rPr>
              <w:t>17</w:t>
            </w:r>
            <w:r>
              <w:rPr>
                <w:b/>
                <w:bCs/>
                <w:sz w:val="24"/>
                <w:szCs w:val="24"/>
              </w:rPr>
              <w:fldChar w:fldCharType="end"/>
            </w:r>
          </w:p>
        </w:sdtContent>
      </w:sdt>
    </w:sdtContent>
  </w:sdt>
  <w:p w:rsidR="004B7515" w:rsidRDefault="004B75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C6D" w:rsidRDefault="00563C6D" w:rsidP="004B7515">
      <w:pPr>
        <w:spacing w:after="0" w:line="240" w:lineRule="auto"/>
      </w:pPr>
      <w:r>
        <w:separator/>
      </w:r>
    </w:p>
  </w:footnote>
  <w:footnote w:type="continuationSeparator" w:id="0">
    <w:p w:rsidR="00563C6D" w:rsidRDefault="00563C6D" w:rsidP="004B7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F55"/>
    <w:multiLevelType w:val="multilevel"/>
    <w:tmpl w:val="8C0ADFDC"/>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1" w15:restartNumberingAfterBreak="0">
    <w:nsid w:val="0BC12FCF"/>
    <w:multiLevelType w:val="multilevel"/>
    <w:tmpl w:val="9148F550"/>
    <w:lvl w:ilvl="0">
      <w:start w:val="1"/>
      <w:numFmt w:val="decimal"/>
      <w:lvlText w:val="%1."/>
      <w:lvlJc w:val="left"/>
      <w:pPr>
        <w:ind w:left="862" w:hanging="720"/>
      </w:pPr>
    </w:lvl>
    <w:lvl w:ilvl="1">
      <w:start w:val="1"/>
      <w:numFmt w:val="lowerLetter"/>
      <w:lvlText w:val="%2."/>
      <w:lvlJc w:val="left"/>
      <w:pPr>
        <w:ind w:left="1788" w:hanging="70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903B8"/>
    <w:multiLevelType w:val="multilevel"/>
    <w:tmpl w:val="9ED28B5A"/>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3" w15:restartNumberingAfterBreak="0">
    <w:nsid w:val="180C3E8C"/>
    <w:multiLevelType w:val="multilevel"/>
    <w:tmpl w:val="8124C918"/>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4" w15:restartNumberingAfterBreak="0">
    <w:nsid w:val="2E954134"/>
    <w:multiLevelType w:val="multilevel"/>
    <w:tmpl w:val="56CE9F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127934"/>
    <w:multiLevelType w:val="multilevel"/>
    <w:tmpl w:val="362483DC"/>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6" w15:restartNumberingAfterBreak="0">
    <w:nsid w:val="3BE45DD7"/>
    <w:multiLevelType w:val="multilevel"/>
    <w:tmpl w:val="89506B86"/>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7" w15:restartNumberingAfterBreak="0">
    <w:nsid w:val="3C247467"/>
    <w:multiLevelType w:val="multilevel"/>
    <w:tmpl w:val="ECC4BA10"/>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8" w15:restartNumberingAfterBreak="0">
    <w:nsid w:val="3F7E0B2C"/>
    <w:multiLevelType w:val="hybridMultilevel"/>
    <w:tmpl w:val="9A00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2137CE"/>
    <w:multiLevelType w:val="multilevel"/>
    <w:tmpl w:val="481E38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B243203"/>
    <w:multiLevelType w:val="multilevel"/>
    <w:tmpl w:val="AA28509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FA2780D"/>
    <w:multiLevelType w:val="multilevel"/>
    <w:tmpl w:val="D4D0ABEA"/>
    <w:lvl w:ilvl="0">
      <w:start w:val="1"/>
      <w:numFmt w:val="decimal"/>
      <w:pStyle w:val="Nagwek1"/>
      <w:lvlText w:val="%1."/>
      <w:lvlJc w:val="left"/>
      <w:pPr>
        <w:ind w:left="432" w:hanging="432"/>
      </w:pPr>
      <w:rPr>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728C30E0"/>
    <w:multiLevelType w:val="multilevel"/>
    <w:tmpl w:val="BAFE2F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4"/>
  </w:num>
  <w:num w:numId="4">
    <w:abstractNumId w:val="3"/>
  </w:num>
  <w:num w:numId="5">
    <w:abstractNumId w:val="2"/>
  </w:num>
  <w:num w:numId="6">
    <w:abstractNumId w:val="5"/>
  </w:num>
  <w:num w:numId="7">
    <w:abstractNumId w:val="0"/>
  </w:num>
  <w:num w:numId="8">
    <w:abstractNumId w:val="6"/>
  </w:num>
  <w:num w:numId="9">
    <w:abstractNumId w:val="7"/>
  </w:num>
  <w:num w:numId="10">
    <w:abstractNumId w:val="9"/>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29"/>
    <w:rsid w:val="000A4EB7"/>
    <w:rsid w:val="001A791C"/>
    <w:rsid w:val="001D6330"/>
    <w:rsid w:val="00253B2C"/>
    <w:rsid w:val="00286C8B"/>
    <w:rsid w:val="002A3D40"/>
    <w:rsid w:val="003F2555"/>
    <w:rsid w:val="0045386C"/>
    <w:rsid w:val="00483AE4"/>
    <w:rsid w:val="004B7515"/>
    <w:rsid w:val="00563C6D"/>
    <w:rsid w:val="00563D0C"/>
    <w:rsid w:val="00663E85"/>
    <w:rsid w:val="006B1464"/>
    <w:rsid w:val="006C7943"/>
    <w:rsid w:val="00843219"/>
    <w:rsid w:val="008553C9"/>
    <w:rsid w:val="008732A7"/>
    <w:rsid w:val="008F5C7A"/>
    <w:rsid w:val="00AA052B"/>
    <w:rsid w:val="00B961C0"/>
    <w:rsid w:val="00BB5B87"/>
    <w:rsid w:val="00BF64B6"/>
    <w:rsid w:val="00E47221"/>
    <w:rsid w:val="00E97923"/>
    <w:rsid w:val="00F76C29"/>
    <w:rsid w:val="00FB6453"/>
    <w:rsid w:val="00FC682F"/>
    <w:rsid w:val="00FE05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36F56-8CE2-4F0E-B40A-B631E36C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autoRedefine/>
    <w:uiPriority w:val="9"/>
    <w:qFormat/>
    <w:rsid w:val="00C91760"/>
    <w:pPr>
      <w:numPr>
        <w:numId w:val="1"/>
      </w:numPr>
      <w:spacing w:after="200" w:line="276" w:lineRule="auto"/>
      <w:outlineLvl w:val="0"/>
    </w:pPr>
    <w:rPr>
      <w:rFonts w:ascii="Tahoma" w:eastAsiaTheme="majorEastAsia" w:hAnsi="Tahoma" w:cstheme="majorBidi"/>
      <w:b/>
      <w:bCs/>
      <w:sz w:val="24"/>
      <w:szCs w:val="28"/>
    </w:rPr>
  </w:style>
  <w:style w:type="paragraph" w:styleId="Nagwek2">
    <w:name w:val="heading 2"/>
    <w:basedOn w:val="Normalny"/>
    <w:link w:val="Nagwek2Znak"/>
    <w:autoRedefine/>
    <w:uiPriority w:val="9"/>
    <w:unhideWhenUsed/>
    <w:qFormat/>
    <w:rsid w:val="00C91760"/>
    <w:pPr>
      <w:keepNext/>
      <w:keepLines/>
      <w:numPr>
        <w:ilvl w:val="1"/>
        <w:numId w:val="1"/>
      </w:numPr>
      <w:spacing w:before="200" w:after="0" w:line="276" w:lineRule="auto"/>
      <w:outlineLvl w:val="1"/>
    </w:pPr>
    <w:rPr>
      <w:rFonts w:ascii="Tahoma" w:eastAsiaTheme="majorEastAsia" w:hAnsi="Tahoma" w:cstheme="majorBidi"/>
      <w:b/>
      <w:bCs/>
      <w:sz w:val="24"/>
      <w:szCs w:val="26"/>
    </w:rPr>
  </w:style>
  <w:style w:type="paragraph" w:styleId="Nagwek3">
    <w:name w:val="heading 3"/>
    <w:basedOn w:val="Normalny"/>
    <w:link w:val="Nagwek3Znak"/>
    <w:uiPriority w:val="9"/>
    <w:qFormat/>
    <w:rsid w:val="00C91760"/>
    <w:pPr>
      <w:keepNext/>
      <w:numPr>
        <w:ilvl w:val="2"/>
        <w:numId w:val="1"/>
      </w:numPr>
      <w:spacing w:after="0" w:line="240" w:lineRule="auto"/>
      <w:jc w:val="both"/>
      <w:outlineLvl w:val="2"/>
    </w:pPr>
    <w:rPr>
      <w:rFonts w:ascii="Arial" w:eastAsiaTheme="minorEastAsia" w:hAnsi="Arial" w:cs="Times New Roman"/>
      <w:b/>
      <w:szCs w:val="20"/>
      <w:lang w:eastAsia="pl-PL"/>
    </w:rPr>
  </w:style>
  <w:style w:type="paragraph" w:styleId="Nagwek4">
    <w:name w:val="heading 4"/>
    <w:basedOn w:val="Normalny"/>
    <w:link w:val="Nagwek4Znak"/>
    <w:uiPriority w:val="9"/>
    <w:qFormat/>
    <w:rsid w:val="00C91760"/>
    <w:pPr>
      <w:keepNext/>
      <w:numPr>
        <w:ilvl w:val="3"/>
        <w:numId w:val="1"/>
      </w:numPr>
      <w:spacing w:after="0" w:line="240" w:lineRule="auto"/>
      <w:outlineLvl w:val="3"/>
    </w:pPr>
    <w:rPr>
      <w:rFonts w:ascii="Arial" w:eastAsiaTheme="minorEastAsia" w:hAnsi="Arial" w:cs="Times New Roman"/>
      <w:b/>
      <w:szCs w:val="20"/>
      <w:lang w:eastAsia="pl-PL"/>
    </w:rPr>
  </w:style>
  <w:style w:type="paragraph" w:styleId="Nagwek5">
    <w:name w:val="heading 5"/>
    <w:basedOn w:val="Normalny"/>
    <w:link w:val="Nagwek5Znak"/>
    <w:uiPriority w:val="9"/>
    <w:semiHidden/>
    <w:unhideWhenUsed/>
    <w:qFormat/>
    <w:rsid w:val="00C91760"/>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Nagwek6">
    <w:name w:val="heading 6"/>
    <w:basedOn w:val="Normalny"/>
    <w:link w:val="Nagwek6Znak"/>
    <w:uiPriority w:val="9"/>
    <w:semiHidden/>
    <w:unhideWhenUsed/>
    <w:qFormat/>
    <w:rsid w:val="00C91760"/>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Nagwek7">
    <w:name w:val="heading 7"/>
    <w:basedOn w:val="Normalny"/>
    <w:link w:val="Nagwek7Znak"/>
    <w:uiPriority w:val="9"/>
    <w:semiHidden/>
    <w:unhideWhenUsed/>
    <w:qFormat/>
    <w:rsid w:val="00C9176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gwek8">
    <w:name w:val="heading 8"/>
    <w:basedOn w:val="Normalny"/>
    <w:link w:val="Nagwek8Znak"/>
    <w:uiPriority w:val="9"/>
    <w:semiHidden/>
    <w:unhideWhenUsed/>
    <w:qFormat/>
    <w:rsid w:val="00C9176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link w:val="Nagwek9Znak"/>
    <w:uiPriority w:val="9"/>
    <w:semiHidden/>
    <w:unhideWhenUsed/>
    <w:qFormat/>
    <w:rsid w:val="00C9176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91760"/>
    <w:rPr>
      <w:rFonts w:ascii="Tahoma" w:eastAsiaTheme="majorEastAsia" w:hAnsi="Tahoma" w:cstheme="majorBidi"/>
      <w:b/>
      <w:bCs/>
      <w:sz w:val="24"/>
      <w:szCs w:val="28"/>
    </w:rPr>
  </w:style>
  <w:style w:type="character" w:customStyle="1" w:styleId="Nagwek2Znak">
    <w:name w:val="Nagłówek 2 Znak"/>
    <w:basedOn w:val="Domylnaczcionkaakapitu"/>
    <w:link w:val="Nagwek2"/>
    <w:uiPriority w:val="9"/>
    <w:qFormat/>
    <w:rsid w:val="00C91760"/>
    <w:rPr>
      <w:rFonts w:ascii="Tahoma" w:eastAsiaTheme="majorEastAsia" w:hAnsi="Tahoma" w:cstheme="majorBidi"/>
      <w:b/>
      <w:bCs/>
      <w:sz w:val="24"/>
      <w:szCs w:val="26"/>
    </w:rPr>
  </w:style>
  <w:style w:type="character" w:customStyle="1" w:styleId="Nagwek3Znak">
    <w:name w:val="Nagłówek 3 Znak"/>
    <w:basedOn w:val="Domylnaczcionkaakapitu"/>
    <w:link w:val="Nagwek3"/>
    <w:uiPriority w:val="9"/>
    <w:qFormat/>
    <w:rsid w:val="00C91760"/>
    <w:rPr>
      <w:rFonts w:ascii="Arial" w:eastAsiaTheme="minorEastAsia" w:hAnsi="Arial" w:cs="Times New Roman"/>
      <w:b/>
      <w:szCs w:val="20"/>
      <w:lang w:eastAsia="pl-PL"/>
    </w:rPr>
  </w:style>
  <w:style w:type="character" w:customStyle="1" w:styleId="Nagwek4Znak">
    <w:name w:val="Nagłówek 4 Znak"/>
    <w:basedOn w:val="Domylnaczcionkaakapitu"/>
    <w:link w:val="Nagwek4"/>
    <w:uiPriority w:val="9"/>
    <w:qFormat/>
    <w:rsid w:val="00C91760"/>
    <w:rPr>
      <w:rFonts w:ascii="Arial" w:eastAsiaTheme="minorEastAsia" w:hAnsi="Arial" w:cs="Times New Roman"/>
      <w:b/>
      <w:szCs w:val="20"/>
      <w:lang w:eastAsia="pl-PL"/>
    </w:rPr>
  </w:style>
  <w:style w:type="character" w:customStyle="1" w:styleId="Nagwek5Znak">
    <w:name w:val="Nagłówek 5 Znak"/>
    <w:basedOn w:val="Domylnaczcionkaakapitu"/>
    <w:link w:val="Nagwek5"/>
    <w:uiPriority w:val="9"/>
    <w:semiHidden/>
    <w:qFormat/>
    <w:rsid w:val="00C91760"/>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semiHidden/>
    <w:qFormat/>
    <w:rsid w:val="00C91760"/>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semiHidden/>
    <w:qFormat/>
    <w:rsid w:val="00C9176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C9176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qFormat/>
    <w:rsid w:val="00C91760"/>
    <w:rPr>
      <w:rFonts w:asciiTheme="majorHAnsi" w:eastAsiaTheme="majorEastAsia" w:hAnsiTheme="majorHAnsi" w:cstheme="majorBidi"/>
      <w:i/>
      <w:iCs/>
      <w:color w:val="404040" w:themeColor="text1" w:themeTint="BF"/>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C91760"/>
    <w:pPr>
      <w:spacing w:after="200" w:line="276" w:lineRule="auto"/>
      <w:ind w:left="720"/>
      <w:contextualSpacing/>
    </w:pPr>
  </w:style>
  <w:style w:type="paragraph" w:customStyle="1" w:styleId="Zawartotabeli">
    <w:name w:val="Zawartość tabeli"/>
    <w:basedOn w:val="Normalny"/>
    <w:qFormat/>
    <w:rsid w:val="00C91760"/>
    <w:pPr>
      <w:widowControl w:val="0"/>
      <w:suppressLineNumbers/>
      <w:suppressAutoHyphens/>
      <w:spacing w:after="0" w:line="240" w:lineRule="auto"/>
    </w:pPr>
    <w:rPr>
      <w:rFonts w:ascii="Times New Roman" w:eastAsia="Arial Unicode MS" w:hAnsi="Times New Roman" w:cs="Tahoma"/>
      <w:kern w:val="2"/>
      <w:sz w:val="24"/>
      <w:szCs w:val="24"/>
      <w:lang w:eastAsia="zh-CN" w:bidi="hi-IN"/>
    </w:rPr>
  </w:style>
  <w:style w:type="table" w:styleId="Tabela-Siatka">
    <w:name w:val="Table Grid"/>
    <w:basedOn w:val="Standardowy"/>
    <w:uiPriority w:val="59"/>
    <w:rsid w:val="00C9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B75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5504</Words>
  <Characters>33026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Fudala</dc:creator>
  <dc:description/>
  <cp:lastModifiedBy>Karolina Ciesielska</cp:lastModifiedBy>
  <cp:revision>4</cp:revision>
  <cp:lastPrinted>2018-07-13T12:21:00Z</cp:lastPrinted>
  <dcterms:created xsi:type="dcterms:W3CDTF">2018-07-13T11:14:00Z</dcterms:created>
  <dcterms:modified xsi:type="dcterms:W3CDTF">2018-07-13T12:53:00Z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