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0BE7C" w14:textId="77777777" w:rsidR="00DC0B9D" w:rsidRPr="00693A6E" w:rsidRDefault="00DC0B9D" w:rsidP="00DC0B9D">
      <w:pPr>
        <w:pStyle w:val="Nagwek1"/>
        <w:keepNext w:val="0"/>
        <w:keepLines w:val="0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Cs w:val="22"/>
        </w:rPr>
      </w:pPr>
      <w:bookmarkStart w:id="0" w:name="_Hlk48037023"/>
      <w:r w:rsidRPr="00693A6E">
        <w:rPr>
          <w:rFonts w:asciiTheme="minorHAnsi" w:hAnsiTheme="minorHAnsi" w:cstheme="minorHAnsi"/>
          <w:szCs w:val="22"/>
        </w:rPr>
        <w:t>OPIS PRZEDMIOTU ZAMÓWIENIA:</w:t>
      </w:r>
    </w:p>
    <w:p w14:paraId="6C18776E" w14:textId="77777777" w:rsidR="00DC0B9D" w:rsidRPr="00693A6E" w:rsidRDefault="00DC0B9D" w:rsidP="00DC0B9D">
      <w:pPr>
        <w:spacing w:line="276" w:lineRule="auto"/>
        <w:ind w:left="851" w:hanging="425"/>
        <w:rPr>
          <w:rFonts w:eastAsia="Times New Roman" w:cstheme="minorHAnsi"/>
          <w:lang w:eastAsia="pl-PL"/>
        </w:rPr>
      </w:pPr>
    </w:p>
    <w:p w14:paraId="01AAB5BE" w14:textId="6B08E212" w:rsidR="00DC0B9D" w:rsidRDefault="00DC0B9D" w:rsidP="00DC0B9D">
      <w:pPr>
        <w:spacing w:line="276" w:lineRule="auto"/>
        <w:ind w:left="851" w:hanging="425"/>
        <w:rPr>
          <w:rFonts w:eastAsia="Times New Roman" w:cstheme="minorHAnsi"/>
          <w:lang w:eastAsia="pl-PL"/>
        </w:rPr>
      </w:pPr>
      <w:r w:rsidRPr="00693A6E">
        <w:rPr>
          <w:rFonts w:eastAsia="Times New Roman" w:cstheme="minorHAnsi"/>
          <w:lang w:eastAsia="pl-PL"/>
        </w:rPr>
        <w:t xml:space="preserve">Kod </w:t>
      </w:r>
      <w:r w:rsidRPr="00693A6E">
        <w:rPr>
          <w:rFonts w:cstheme="minorHAnsi"/>
        </w:rPr>
        <w:t>CPV</w:t>
      </w:r>
      <w:r w:rsidRPr="00693A6E">
        <w:rPr>
          <w:rFonts w:eastAsia="Times New Roman" w:cstheme="minorHAnsi"/>
          <w:lang w:eastAsia="pl-PL"/>
        </w:rPr>
        <w:t xml:space="preserve">: </w:t>
      </w:r>
    </w:p>
    <w:p w14:paraId="7E2B4043" w14:textId="5914A6C3" w:rsidR="00DC0B9D" w:rsidRPr="00DC0B9D" w:rsidRDefault="000E54A2" w:rsidP="00DC0B9D">
      <w:pPr>
        <w:rPr>
          <w:rFonts w:eastAsia="Calibri" w:cstheme="minorHAnsi"/>
          <w:color w:val="000000"/>
        </w:rPr>
      </w:pPr>
      <w:hyperlink r:id="rId7" w:history="1">
        <w:r w:rsidR="00DC0B9D" w:rsidRPr="00DC0B9D">
          <w:rPr>
            <w:rFonts w:eastAsia="Calibri" w:cstheme="minorHAnsi"/>
            <w:color w:val="000000"/>
          </w:rPr>
          <w:t>79420000-4</w:t>
        </w:r>
      </w:hyperlink>
      <w:r w:rsidR="00DC0B9D" w:rsidRPr="00DC0B9D">
        <w:rPr>
          <w:rFonts w:eastAsia="Calibri" w:cstheme="minorHAnsi"/>
          <w:color w:val="000000"/>
        </w:rPr>
        <w:t xml:space="preserve"> </w:t>
      </w:r>
      <w:r w:rsidR="00DC0B9D">
        <w:rPr>
          <w:rFonts w:eastAsia="Calibri" w:cstheme="minorHAnsi"/>
          <w:color w:val="000000"/>
        </w:rPr>
        <w:t xml:space="preserve">  </w:t>
      </w:r>
      <w:r w:rsidR="00DC0B9D" w:rsidRPr="00DC0B9D">
        <w:rPr>
          <w:rFonts w:eastAsia="Calibri" w:cstheme="minorHAnsi"/>
          <w:color w:val="000000"/>
        </w:rPr>
        <w:t>Usługi związane z zarządzaniem</w:t>
      </w:r>
      <w:r w:rsidR="00DC0B9D">
        <w:rPr>
          <w:rFonts w:eastAsia="Calibri" w:cstheme="minorHAnsi"/>
          <w:color w:val="000000"/>
        </w:rPr>
        <w:br/>
      </w:r>
      <w:hyperlink r:id="rId8" w:history="1">
        <w:r w:rsidR="00DC0B9D" w:rsidRPr="00DC0B9D">
          <w:rPr>
            <w:rFonts w:eastAsia="Calibri" w:cstheme="minorHAnsi"/>
            <w:color w:val="000000"/>
          </w:rPr>
          <w:t>79412000-5</w:t>
        </w:r>
      </w:hyperlink>
      <w:r w:rsidR="00DC0B9D" w:rsidRPr="00DC0B9D">
        <w:rPr>
          <w:rFonts w:eastAsia="Calibri" w:cstheme="minorHAnsi"/>
          <w:color w:val="000000"/>
        </w:rPr>
        <w:t xml:space="preserve">   Usługi doradcze w zakresie zarządzania finansami,</w:t>
      </w:r>
      <w:hyperlink r:id="rId9" w:history="1">
        <w:r w:rsidR="00DC0B9D" w:rsidRPr="00DC0B9D">
          <w:rPr>
            <w:rFonts w:eastAsia="Calibri" w:cstheme="minorHAnsi"/>
            <w:color w:val="000000"/>
          </w:rPr>
          <w:br/>
          <w:t>79100000-5</w:t>
        </w:r>
      </w:hyperlink>
      <w:r w:rsidR="00DC0B9D">
        <w:rPr>
          <w:rFonts w:eastAsia="Calibri" w:cstheme="minorHAnsi"/>
          <w:color w:val="000000"/>
        </w:rPr>
        <w:t xml:space="preserve">   </w:t>
      </w:r>
      <w:r w:rsidR="00DC0B9D" w:rsidRPr="00DC0B9D">
        <w:rPr>
          <w:rFonts w:eastAsia="Calibri" w:cstheme="minorHAnsi"/>
          <w:color w:val="000000"/>
        </w:rPr>
        <w:t>Usługi prawnicze</w:t>
      </w:r>
    </w:p>
    <w:p w14:paraId="5FE8B894" w14:textId="77777777" w:rsidR="00DC0B9D" w:rsidRPr="00693A6E" w:rsidRDefault="00DC0B9D" w:rsidP="00DC0B9D">
      <w:pPr>
        <w:tabs>
          <w:tab w:val="left" w:pos="1701"/>
        </w:tabs>
        <w:spacing w:after="0" w:line="276" w:lineRule="auto"/>
        <w:rPr>
          <w:rFonts w:cstheme="minorHAnsi"/>
        </w:rPr>
      </w:pPr>
    </w:p>
    <w:p w14:paraId="2A284B72" w14:textId="77777777" w:rsidR="00DC0B9D" w:rsidRDefault="00DC0B9D" w:rsidP="00DC0B9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693A6E">
        <w:rPr>
          <w:rFonts w:asciiTheme="minorHAnsi" w:hAnsiTheme="minorHAnsi" w:cstheme="minorHAnsi"/>
          <w:color w:val="000000"/>
        </w:rPr>
        <w:t xml:space="preserve">Przedmiotem zamówienia jest </w:t>
      </w:r>
      <w:r w:rsidRPr="00CF028D">
        <w:rPr>
          <w:rFonts w:eastAsia="Times New Roman" w:cs="Calibri"/>
          <w:bCs/>
          <w:i/>
          <w:iCs/>
          <w:color w:val="000000"/>
          <w:sz w:val="20"/>
          <w:szCs w:val="20"/>
          <w:lang w:eastAsia="pl-PL"/>
        </w:rPr>
        <w:t>Kompleksowe zarządzanie projektem: „Digitalizacja zasobów będących w posiadaniu Polskiego Wydawnictwa Muzycznego – kontynuacja.”</w:t>
      </w:r>
      <w:r>
        <w:rPr>
          <w:rFonts w:eastAsia="Times New Roman" w:cs="Calibri"/>
          <w:bCs/>
          <w:i/>
          <w:iCs/>
          <w:color w:val="000000"/>
          <w:sz w:val="20"/>
          <w:szCs w:val="20"/>
          <w:lang w:eastAsia="pl-PL"/>
        </w:rPr>
        <w:t xml:space="preserve">, </w:t>
      </w:r>
      <w:r w:rsidRPr="0009387D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współfinansowanego</w:t>
      </w:r>
      <w:r>
        <w:rPr>
          <w:rFonts w:eastAsia="Times New Roman" w:cs="Calibri"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19400F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środków Europejskiego Funduszu Rozwoju Regionalnego w ramach Programu Operacyjnego Polska Cyfrowa 2014-2020</w:t>
      </w:r>
      <w:r w:rsidRPr="00693A6E">
        <w:rPr>
          <w:rFonts w:asciiTheme="minorHAnsi" w:hAnsiTheme="minorHAnsi" w:cstheme="minorHAnsi"/>
          <w:color w:val="000000"/>
        </w:rPr>
        <w:t xml:space="preserve">W </w:t>
      </w:r>
    </w:p>
    <w:p w14:paraId="30381CFB" w14:textId="77777777" w:rsidR="00DC0B9D" w:rsidRDefault="00DC0B9D" w:rsidP="00DC0B9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114F79C6" w14:textId="250962E6" w:rsidR="00DC0B9D" w:rsidRPr="00693A6E" w:rsidRDefault="00DC0B9D" w:rsidP="00DC0B9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</w:t>
      </w:r>
      <w:r w:rsidRPr="00693A6E">
        <w:rPr>
          <w:rFonts w:asciiTheme="minorHAnsi" w:hAnsiTheme="minorHAnsi" w:cstheme="minorHAnsi"/>
          <w:color w:val="000000"/>
        </w:rPr>
        <w:t>zakres przedmiotu zamówienia wchodzi świadczenie następujących usług:</w:t>
      </w:r>
    </w:p>
    <w:bookmarkEnd w:id="0"/>
    <w:p w14:paraId="6FCA82CB" w14:textId="38B29092" w:rsidR="00817CB3" w:rsidRPr="00DC0B9D" w:rsidRDefault="00DC0B9D" w:rsidP="00DC0B9D">
      <w:pPr>
        <w:pStyle w:val="Tre"/>
        <w:numPr>
          <w:ilvl w:val="0"/>
          <w:numId w:val="11"/>
        </w:numPr>
        <w:jc w:val="both"/>
        <w:rPr>
          <w:rFonts w:asciiTheme="minorHAnsi" w:eastAsia="Calibri" w:hAnsiTheme="minorHAnsi" w:cstheme="minorHAnsi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C0B9D">
        <w:rPr>
          <w:rFonts w:asciiTheme="minorHAnsi" w:eastAsia="Calibri" w:hAnsiTheme="minorHAnsi" w:cstheme="minorHAnsi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>bieżące doradztwo oraz stała współpraca z Zamawiającym w zakresie realizacji Przedmiotu Umowy, świadczona również osobiście przez przedstawiciela Zarządzającego Projektem w siedzibie Zamawiającego w wymiarze 4 dni w tygodniu przez min. 2h dziennie.</w:t>
      </w:r>
    </w:p>
    <w:p w14:paraId="31B0AE94" w14:textId="77777777" w:rsidR="00817CB3" w:rsidRDefault="00817CB3" w:rsidP="00395541">
      <w:pPr>
        <w:spacing w:after="0" w:line="276" w:lineRule="auto"/>
        <w:jc w:val="both"/>
        <w:rPr>
          <w:rFonts w:cstheme="minorHAnsi"/>
          <w:b/>
          <w:bCs/>
          <w:sz w:val="21"/>
          <w:szCs w:val="21"/>
          <w:u w:val="single"/>
        </w:rPr>
      </w:pPr>
    </w:p>
    <w:p w14:paraId="6B247294" w14:textId="4708A50D" w:rsidR="00395541" w:rsidRPr="00313A21" w:rsidRDefault="00395541" w:rsidP="00395541">
      <w:pPr>
        <w:spacing w:after="0" w:line="276" w:lineRule="auto"/>
        <w:jc w:val="both"/>
        <w:rPr>
          <w:rFonts w:cstheme="minorHAnsi"/>
          <w:b/>
          <w:bCs/>
          <w:sz w:val="21"/>
          <w:szCs w:val="21"/>
          <w:u w:val="single"/>
        </w:rPr>
      </w:pPr>
      <w:r w:rsidRPr="00313A21">
        <w:rPr>
          <w:rFonts w:cstheme="minorHAnsi"/>
          <w:b/>
          <w:bCs/>
          <w:sz w:val="21"/>
          <w:szCs w:val="21"/>
          <w:u w:val="single"/>
        </w:rPr>
        <w:t>Zakres finansowo-księgowy:</w:t>
      </w:r>
    </w:p>
    <w:p w14:paraId="704C7C8B" w14:textId="77777777" w:rsidR="00395541" w:rsidRPr="00313A21" w:rsidRDefault="00395541" w:rsidP="003955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zarządzanie mechanizmem montażu finansowego projektu, systemem płatności, sprawozdawczością i ewaluacją;</w:t>
      </w:r>
    </w:p>
    <w:p w14:paraId="4152C62D" w14:textId="77777777" w:rsidR="00395541" w:rsidRPr="00313A21" w:rsidRDefault="00395541" w:rsidP="003955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monitorowanie i aktualizacja harmonogramu rzeczowo–finansowego projektu;</w:t>
      </w:r>
    </w:p>
    <w:p w14:paraId="1F89728F" w14:textId="77777777" w:rsidR="00395541" w:rsidRPr="00313A21" w:rsidRDefault="00395541" w:rsidP="003955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 xml:space="preserve">kontrola na podstawie 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dowod</w:t>
      </w:r>
      <w:proofErr w:type="spellEnd"/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313A21">
        <w:rPr>
          <w:rFonts w:asciiTheme="minorHAnsi" w:hAnsiTheme="minorHAnsi" w:cstheme="minorHAnsi"/>
          <w:sz w:val="21"/>
          <w:szCs w:val="21"/>
        </w:rPr>
        <w:t xml:space="preserve">w księgowych zgodności ponoszonych 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wydatk</w:t>
      </w:r>
      <w:proofErr w:type="spellEnd"/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313A21">
        <w:rPr>
          <w:rFonts w:asciiTheme="minorHAnsi" w:hAnsiTheme="minorHAnsi" w:cstheme="minorHAnsi"/>
          <w:sz w:val="21"/>
          <w:szCs w:val="21"/>
        </w:rPr>
        <w:t>w z dokumentacją projektu, wnioskowanie do IZ o zmiany w zakresie finansowym projektu;</w:t>
      </w:r>
    </w:p>
    <w:p w14:paraId="76FC92FD" w14:textId="77777777" w:rsidR="00395541" w:rsidRPr="00313A21" w:rsidRDefault="00395541" w:rsidP="003955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aktualizacja dokumentacji aplikacyjnej projektu w oparciu o wytyczne Instytucji Zarządzającej, wnioskowanie do IZ o zmiany w zakresie rzeczowym projektu;</w:t>
      </w:r>
    </w:p>
    <w:p w14:paraId="529FF935" w14:textId="77777777" w:rsidR="00395541" w:rsidRPr="00313A21" w:rsidRDefault="00395541" w:rsidP="003955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 xml:space="preserve">przygotowanie 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wniosk</w:t>
      </w:r>
      <w:proofErr w:type="spellEnd"/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313A21">
        <w:rPr>
          <w:rFonts w:asciiTheme="minorHAnsi" w:hAnsiTheme="minorHAnsi" w:cstheme="minorHAnsi"/>
          <w:sz w:val="21"/>
          <w:szCs w:val="21"/>
        </w:rPr>
        <w:t>w o płatność i oświadczeń, unijnych opis</w:t>
      </w:r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313A21">
        <w:rPr>
          <w:rFonts w:asciiTheme="minorHAnsi" w:hAnsiTheme="minorHAnsi" w:cstheme="minorHAnsi"/>
          <w:sz w:val="21"/>
          <w:szCs w:val="21"/>
        </w:rPr>
        <w:t>w dokument</w:t>
      </w:r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313A21">
        <w:rPr>
          <w:rFonts w:asciiTheme="minorHAnsi" w:hAnsiTheme="minorHAnsi" w:cstheme="minorHAnsi"/>
          <w:sz w:val="21"/>
          <w:szCs w:val="21"/>
        </w:rPr>
        <w:t>w księgowych;</w:t>
      </w:r>
    </w:p>
    <w:p w14:paraId="5E28457C" w14:textId="77777777" w:rsidR="00395541" w:rsidRPr="00313A21" w:rsidRDefault="00395541" w:rsidP="003955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obsługa programu rozliczeniowego SL 2014-2020 oraz innych program</w:t>
      </w:r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313A21">
        <w:rPr>
          <w:rFonts w:asciiTheme="minorHAnsi" w:hAnsiTheme="minorHAnsi" w:cstheme="minorHAnsi"/>
          <w:sz w:val="21"/>
          <w:szCs w:val="21"/>
        </w:rPr>
        <w:t>w Instytucji Zarządzających;</w:t>
      </w:r>
    </w:p>
    <w:p w14:paraId="49FEA114" w14:textId="77777777" w:rsidR="00395541" w:rsidRPr="00313A21" w:rsidRDefault="00395541" w:rsidP="003955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weryfikacja wymaganych załącznik</w:t>
      </w:r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313A21">
        <w:rPr>
          <w:rFonts w:asciiTheme="minorHAnsi" w:hAnsiTheme="minorHAnsi" w:cstheme="minorHAnsi"/>
          <w:sz w:val="21"/>
          <w:szCs w:val="21"/>
        </w:rPr>
        <w:t>w do wniosku o płatność;</w:t>
      </w:r>
    </w:p>
    <w:p w14:paraId="48765FD8" w14:textId="77777777" w:rsidR="00395541" w:rsidRPr="00313A21" w:rsidRDefault="00395541" w:rsidP="00395541">
      <w:pPr>
        <w:pStyle w:val="Tekstkomentarz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współpraca w zakresie przygotowania i wdrożenia szczegółowego planu działań promocyjnych;</w:t>
      </w:r>
    </w:p>
    <w:p w14:paraId="0047CAAC" w14:textId="77777777" w:rsidR="00395541" w:rsidRPr="00313A21" w:rsidRDefault="00395541" w:rsidP="003955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sprawozdawczość: przygotowanie harmonogram</w:t>
      </w:r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313A21">
        <w:rPr>
          <w:rFonts w:asciiTheme="minorHAnsi" w:hAnsiTheme="minorHAnsi" w:cstheme="minorHAnsi"/>
          <w:sz w:val="21"/>
          <w:szCs w:val="21"/>
        </w:rPr>
        <w:t>w płatności oraz raport</w:t>
      </w:r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313A21">
        <w:rPr>
          <w:rFonts w:asciiTheme="minorHAnsi" w:hAnsiTheme="minorHAnsi" w:cstheme="minorHAnsi"/>
          <w:sz w:val="21"/>
          <w:szCs w:val="21"/>
        </w:rPr>
        <w:t>w zgodnie z wytycznymi Programu;</w:t>
      </w:r>
    </w:p>
    <w:p w14:paraId="5D36DCDC" w14:textId="77777777" w:rsidR="00395541" w:rsidRPr="00313A21" w:rsidRDefault="00395541" w:rsidP="00395541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1"/>
          <w:szCs w:val="21"/>
        </w:rPr>
      </w:pPr>
      <w:r w:rsidRPr="00313A21">
        <w:rPr>
          <w:rFonts w:cstheme="minorHAnsi"/>
          <w:sz w:val="21"/>
          <w:szCs w:val="21"/>
        </w:rPr>
        <w:t>pomiar wartości wskaźnik</w:t>
      </w:r>
      <w:r w:rsidRPr="00313A21">
        <w:rPr>
          <w:rFonts w:cstheme="minorHAnsi"/>
          <w:sz w:val="21"/>
          <w:szCs w:val="21"/>
          <w:lang w:val="es-ES_tradnl"/>
        </w:rPr>
        <w:t>ó</w:t>
      </w:r>
      <w:r w:rsidRPr="00313A21">
        <w:rPr>
          <w:rFonts w:cstheme="minorHAnsi"/>
          <w:sz w:val="21"/>
          <w:szCs w:val="21"/>
        </w:rPr>
        <w:t>w osią</w:t>
      </w:r>
      <w:r w:rsidRPr="00313A21">
        <w:rPr>
          <w:rFonts w:cstheme="minorHAnsi"/>
          <w:sz w:val="21"/>
          <w:szCs w:val="21"/>
          <w:lang w:val="it-IT"/>
        </w:rPr>
        <w:t>gni</w:t>
      </w:r>
      <w:proofErr w:type="spellStart"/>
      <w:r w:rsidRPr="00313A21">
        <w:rPr>
          <w:rFonts w:cstheme="minorHAnsi"/>
          <w:sz w:val="21"/>
          <w:szCs w:val="21"/>
        </w:rPr>
        <w:t>ętych</w:t>
      </w:r>
      <w:proofErr w:type="spellEnd"/>
      <w:r w:rsidRPr="00313A21">
        <w:rPr>
          <w:rFonts w:cstheme="minorHAnsi"/>
          <w:sz w:val="21"/>
          <w:szCs w:val="21"/>
        </w:rPr>
        <w:t xml:space="preserve"> w wyniku realizacji Projektu, zgodnie ze wskaźnikami monitoringowymi zamieszczonymi we wniosku o dofinansowanie;</w:t>
      </w:r>
    </w:p>
    <w:p w14:paraId="1CC3BC7E" w14:textId="77777777" w:rsidR="00395541" w:rsidRPr="00313A21" w:rsidRDefault="00395541" w:rsidP="00395541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1"/>
          <w:szCs w:val="21"/>
        </w:rPr>
      </w:pPr>
      <w:r w:rsidRPr="00313A21">
        <w:rPr>
          <w:rFonts w:cstheme="minorHAnsi"/>
          <w:sz w:val="21"/>
          <w:szCs w:val="21"/>
        </w:rPr>
        <w:t>reprezentowanie Beneficjenta przed Instytucją Zarządzającą – kontakt z POPC. Wsparcie w zakresie opracowania pism dotyczących zmian w zakresie realizacji projektu skierowanych do Instytucji Zarządzającej;</w:t>
      </w:r>
    </w:p>
    <w:p w14:paraId="1C22E419" w14:textId="77777777" w:rsidR="00395541" w:rsidRPr="00313A21" w:rsidRDefault="00395541" w:rsidP="003955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zapewnienie stałej wymiany informacji z Zamawiającym oraz koordynacja swojej działalności z wymaganiami Zamawiającego.</w:t>
      </w:r>
    </w:p>
    <w:p w14:paraId="01956103" w14:textId="77777777" w:rsidR="00395541" w:rsidRPr="00313A21" w:rsidRDefault="00395541" w:rsidP="00395541">
      <w:pPr>
        <w:spacing w:after="0" w:line="276" w:lineRule="auto"/>
        <w:jc w:val="both"/>
        <w:rPr>
          <w:rFonts w:cstheme="minorHAnsi"/>
          <w:b/>
          <w:bCs/>
          <w:sz w:val="21"/>
          <w:szCs w:val="21"/>
          <w:u w:val="single"/>
        </w:rPr>
      </w:pPr>
    </w:p>
    <w:p w14:paraId="5AB75FF8" w14:textId="77777777" w:rsidR="00395541" w:rsidRPr="00313A21" w:rsidRDefault="00395541" w:rsidP="00395541">
      <w:pPr>
        <w:spacing w:after="0" w:line="276" w:lineRule="auto"/>
        <w:jc w:val="both"/>
        <w:rPr>
          <w:rFonts w:cstheme="minorHAnsi"/>
          <w:b/>
          <w:bCs/>
          <w:sz w:val="21"/>
          <w:szCs w:val="21"/>
          <w:u w:val="single"/>
        </w:rPr>
      </w:pPr>
      <w:r w:rsidRPr="00313A21">
        <w:rPr>
          <w:rFonts w:cstheme="minorHAnsi"/>
          <w:b/>
          <w:bCs/>
          <w:sz w:val="21"/>
          <w:szCs w:val="21"/>
          <w:u w:val="single"/>
        </w:rPr>
        <w:t xml:space="preserve">Zakres prawny: </w:t>
      </w:r>
    </w:p>
    <w:p w14:paraId="47E9898E" w14:textId="1B1D5352" w:rsidR="00395541" w:rsidRPr="00313A21" w:rsidRDefault="00395541" w:rsidP="00395541">
      <w:pPr>
        <w:pStyle w:val="DomylneA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 xml:space="preserve">pomoc w przygotowaniu dokumentacji postępowań o udzielenie 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zam</w:t>
      </w:r>
      <w:proofErr w:type="spellEnd"/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wienia</w:t>
      </w:r>
      <w:proofErr w:type="spellEnd"/>
      <w:r w:rsidRPr="00313A21">
        <w:rPr>
          <w:rFonts w:asciiTheme="minorHAnsi" w:hAnsiTheme="minorHAnsi" w:cstheme="minorHAnsi"/>
          <w:sz w:val="21"/>
          <w:szCs w:val="21"/>
        </w:rPr>
        <w:t xml:space="preserve"> publicznego, realizowanych na podstawie ustawy Prawo 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Zam</w:t>
      </w:r>
      <w:proofErr w:type="spellEnd"/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wień</w:t>
      </w:r>
      <w:proofErr w:type="spellEnd"/>
      <w:r w:rsidRPr="00313A21">
        <w:rPr>
          <w:rFonts w:asciiTheme="minorHAnsi" w:hAnsiTheme="minorHAnsi" w:cstheme="minorHAnsi"/>
          <w:sz w:val="21"/>
          <w:szCs w:val="21"/>
        </w:rPr>
        <w:t xml:space="preserve"> Publicznych oraz w oparciu o inne zasady, np. zgodnie z zasadą konkurencyjności w projektach</w:t>
      </w:r>
      <w:r w:rsidR="003370E8">
        <w:rPr>
          <w:rFonts w:asciiTheme="minorHAnsi" w:hAnsiTheme="minorHAnsi" w:cstheme="minorHAnsi"/>
          <w:sz w:val="21"/>
          <w:szCs w:val="21"/>
        </w:rPr>
        <w:t>. Ramowy harmonogram zamówień publicznych stanowi załącznik nr 1 do OPZ.</w:t>
      </w:r>
    </w:p>
    <w:p w14:paraId="654EF76F" w14:textId="77777777" w:rsidR="00395541" w:rsidRPr="00313A21" w:rsidRDefault="00395541" w:rsidP="00395541">
      <w:pPr>
        <w:pStyle w:val="DomylneA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 xml:space="preserve">publikowanie ogłoszeń dotyczących postępowania o udzielenie 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zam</w:t>
      </w:r>
      <w:proofErr w:type="spellEnd"/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wienia</w:t>
      </w:r>
      <w:proofErr w:type="spellEnd"/>
      <w:r w:rsidRPr="00313A21">
        <w:rPr>
          <w:rFonts w:asciiTheme="minorHAnsi" w:hAnsiTheme="minorHAnsi" w:cstheme="minorHAnsi"/>
          <w:sz w:val="21"/>
          <w:szCs w:val="21"/>
        </w:rPr>
        <w:t xml:space="preserve"> publicznego we właściwym publikatorze urzędowym;</w:t>
      </w:r>
    </w:p>
    <w:p w14:paraId="217737EA" w14:textId="77777777" w:rsidR="00395541" w:rsidRPr="00313A21" w:rsidRDefault="00395541" w:rsidP="00395541">
      <w:pPr>
        <w:pStyle w:val="DomylneA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lastRenderedPageBreak/>
        <w:t xml:space="preserve">pomoc w przygotowaniu 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wzor</w:t>
      </w:r>
      <w:proofErr w:type="spellEnd"/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313A21">
        <w:rPr>
          <w:rFonts w:asciiTheme="minorHAnsi" w:hAnsiTheme="minorHAnsi" w:cstheme="minorHAnsi"/>
          <w:sz w:val="21"/>
          <w:szCs w:val="21"/>
        </w:rPr>
        <w:t xml:space="preserve">w 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um</w:t>
      </w:r>
      <w:proofErr w:type="spellEnd"/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313A21">
        <w:rPr>
          <w:rFonts w:asciiTheme="minorHAnsi" w:hAnsiTheme="minorHAnsi" w:cstheme="minorHAnsi"/>
          <w:sz w:val="21"/>
          <w:szCs w:val="21"/>
        </w:rPr>
        <w:t xml:space="preserve">w z wykonawcami wyłonionymi do realizacji 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zam</w:t>
      </w:r>
      <w:proofErr w:type="spellEnd"/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wień</w:t>
      </w:r>
      <w:proofErr w:type="spellEnd"/>
      <w:r w:rsidRPr="00313A21">
        <w:rPr>
          <w:rFonts w:asciiTheme="minorHAnsi" w:hAnsiTheme="minorHAnsi" w:cstheme="minorHAnsi"/>
          <w:sz w:val="21"/>
          <w:szCs w:val="21"/>
        </w:rPr>
        <w:t>;</w:t>
      </w:r>
    </w:p>
    <w:p w14:paraId="75A8D6A2" w14:textId="77777777" w:rsidR="00395541" w:rsidRPr="00313A21" w:rsidRDefault="00395541" w:rsidP="00395541">
      <w:pPr>
        <w:pStyle w:val="DomylneA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pomoc w przygotowywaniu aneks</w:t>
      </w:r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313A21">
        <w:rPr>
          <w:rFonts w:asciiTheme="minorHAnsi" w:hAnsiTheme="minorHAnsi" w:cstheme="minorHAnsi"/>
          <w:sz w:val="21"/>
          <w:szCs w:val="21"/>
        </w:rPr>
        <w:t xml:space="preserve">w do 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um</w:t>
      </w:r>
      <w:proofErr w:type="spellEnd"/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313A21">
        <w:rPr>
          <w:rFonts w:asciiTheme="minorHAnsi" w:hAnsiTheme="minorHAnsi" w:cstheme="minorHAnsi"/>
          <w:sz w:val="21"/>
          <w:szCs w:val="21"/>
        </w:rPr>
        <w:t xml:space="preserve">w i innych wystąpień do 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wykonawc</w:t>
      </w:r>
      <w:proofErr w:type="spellEnd"/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313A21">
        <w:rPr>
          <w:rFonts w:asciiTheme="minorHAnsi" w:hAnsiTheme="minorHAnsi" w:cstheme="minorHAnsi"/>
          <w:sz w:val="21"/>
          <w:szCs w:val="21"/>
        </w:rPr>
        <w:t xml:space="preserve">w 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w</w:t>
      </w:r>
      <w:proofErr w:type="spellEnd"/>
      <w:r w:rsidRPr="00313A21">
        <w:rPr>
          <w:rFonts w:asciiTheme="minorHAnsi" w:hAnsiTheme="minorHAnsi" w:cstheme="minorHAnsi"/>
          <w:sz w:val="21"/>
          <w:szCs w:val="21"/>
        </w:rPr>
        <w:t xml:space="preserve"> toku wykonywania umowy;</w:t>
      </w:r>
    </w:p>
    <w:p w14:paraId="693F01C1" w14:textId="77777777" w:rsidR="00395541" w:rsidRPr="00313A21" w:rsidRDefault="00395541" w:rsidP="00395541">
      <w:pPr>
        <w:pStyle w:val="DomylneA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udział w pracach komisji przetargowych;</w:t>
      </w:r>
    </w:p>
    <w:p w14:paraId="31334186" w14:textId="77777777" w:rsidR="00395541" w:rsidRPr="00313A21" w:rsidRDefault="00395541" w:rsidP="00395541">
      <w:pPr>
        <w:pStyle w:val="DomylneA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analizowanie problem</w:t>
      </w:r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313A21">
        <w:rPr>
          <w:rFonts w:asciiTheme="minorHAnsi" w:hAnsiTheme="minorHAnsi" w:cstheme="minorHAnsi"/>
          <w:sz w:val="21"/>
          <w:szCs w:val="21"/>
        </w:rPr>
        <w:t>w powstałych w toku prac i doradztwo w zakresie ich rozwiązania;</w:t>
      </w:r>
    </w:p>
    <w:p w14:paraId="1665878D" w14:textId="77777777" w:rsidR="00395541" w:rsidRPr="00313A21" w:rsidRDefault="00395541" w:rsidP="00395541">
      <w:pPr>
        <w:pStyle w:val="DomylneA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 xml:space="preserve">doradztwo w zakresie wyjaśnień udzielanych w toku kontroli 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zam</w:t>
      </w:r>
      <w:proofErr w:type="spellEnd"/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wień</w:t>
      </w:r>
      <w:proofErr w:type="spellEnd"/>
      <w:r w:rsidRPr="00313A21">
        <w:rPr>
          <w:rFonts w:asciiTheme="minorHAnsi" w:hAnsiTheme="minorHAnsi" w:cstheme="minorHAnsi"/>
          <w:sz w:val="21"/>
          <w:szCs w:val="21"/>
        </w:rPr>
        <w:t xml:space="preserve"> publicznych;</w:t>
      </w:r>
    </w:p>
    <w:p w14:paraId="500DE5D8" w14:textId="77777777" w:rsidR="00395541" w:rsidRPr="00313A21" w:rsidRDefault="00395541" w:rsidP="00395541">
      <w:pPr>
        <w:pStyle w:val="DomylneA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 xml:space="preserve">prowadzenie korespondencji, przygotowywanie odpowiedzi na zapytania, 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zam</w:t>
      </w:r>
      <w:proofErr w:type="spellEnd"/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wienia</w:t>
      </w:r>
      <w:proofErr w:type="spellEnd"/>
      <w:r w:rsidRPr="00313A21">
        <w:rPr>
          <w:rFonts w:asciiTheme="minorHAnsi" w:hAnsiTheme="minorHAnsi" w:cstheme="minorHAnsi"/>
          <w:sz w:val="21"/>
          <w:szCs w:val="21"/>
        </w:rPr>
        <w:t>, pomoc w przygotowaniu pism związanych z procedurami odwoławczymi, z wyłączeniem reprezentacji przed Krajową Izbą Odwoławczą.</w:t>
      </w:r>
    </w:p>
    <w:p w14:paraId="40375D18" w14:textId="77777777" w:rsidR="00395541" w:rsidRPr="00313A21" w:rsidRDefault="00395541" w:rsidP="00395541">
      <w:pPr>
        <w:pStyle w:val="DomylneA"/>
        <w:spacing w:before="0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26FB4274" w14:textId="77777777" w:rsidR="00395541" w:rsidRPr="00313A21" w:rsidRDefault="00395541" w:rsidP="00395541">
      <w:pPr>
        <w:pStyle w:val="DomylneA"/>
        <w:spacing w:before="0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103122BA" w14:textId="77777777" w:rsidR="00395541" w:rsidRPr="00313A21" w:rsidRDefault="00395541" w:rsidP="00395541">
      <w:pPr>
        <w:spacing w:after="0" w:line="276" w:lineRule="auto"/>
        <w:jc w:val="both"/>
        <w:rPr>
          <w:rFonts w:cstheme="minorHAnsi"/>
          <w:b/>
          <w:bCs/>
          <w:sz w:val="21"/>
          <w:szCs w:val="21"/>
          <w:u w:val="single"/>
        </w:rPr>
      </w:pPr>
      <w:r w:rsidRPr="00313A21">
        <w:rPr>
          <w:rFonts w:cstheme="minorHAnsi"/>
          <w:b/>
          <w:bCs/>
          <w:sz w:val="21"/>
          <w:szCs w:val="21"/>
          <w:u w:val="single"/>
        </w:rPr>
        <w:t>Zakres techniczny:</w:t>
      </w:r>
    </w:p>
    <w:p w14:paraId="480DF118" w14:textId="77777777" w:rsidR="00395541" w:rsidRPr="00313A21" w:rsidRDefault="00395541" w:rsidP="00395541">
      <w:pPr>
        <w:spacing w:after="0" w:line="276" w:lineRule="auto"/>
        <w:jc w:val="both"/>
        <w:rPr>
          <w:rFonts w:cstheme="minorHAnsi"/>
          <w:b/>
          <w:bCs/>
          <w:sz w:val="21"/>
          <w:szCs w:val="21"/>
          <w:u w:val="single"/>
        </w:rPr>
      </w:pPr>
      <w:r w:rsidRPr="00313A21">
        <w:rPr>
          <w:rFonts w:cstheme="minorHAnsi"/>
          <w:b/>
          <w:bCs/>
          <w:sz w:val="21"/>
          <w:szCs w:val="21"/>
        </w:rPr>
        <w:t>Zakres tematyczny:</w:t>
      </w:r>
    </w:p>
    <w:p w14:paraId="59E6F00C" w14:textId="77777777" w:rsidR="00395541" w:rsidRPr="00313A21" w:rsidRDefault="00395541" w:rsidP="0039554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Sprzęt komputerowy i serwerowy, akcesoria komputerowe, sieci lokalne i łącza internetowe;</w:t>
      </w:r>
    </w:p>
    <w:p w14:paraId="0B93DD65" w14:textId="77777777" w:rsidR="00395541" w:rsidRPr="00313A21" w:rsidRDefault="00395541" w:rsidP="0039554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Archiwizacja i backup danych;</w:t>
      </w:r>
    </w:p>
    <w:p w14:paraId="42A127C9" w14:textId="77777777" w:rsidR="00395541" w:rsidRPr="00313A21" w:rsidRDefault="00395541" w:rsidP="0039554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Sprzęt do digitalizacji (skanery, aparaty cyfrowe, sprzęt studyjny);</w:t>
      </w:r>
    </w:p>
    <w:p w14:paraId="3B80176C" w14:textId="77777777" w:rsidR="00395541" w:rsidRPr="00313A21" w:rsidRDefault="00395541" w:rsidP="0039554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Planowanie i realizacja procesu digitalizacji, normy i rekomendacje, katalogi dobrych praktyk;</w:t>
      </w:r>
    </w:p>
    <w:p w14:paraId="3C0F5610" w14:textId="77777777" w:rsidR="00395541" w:rsidRPr="00313A21" w:rsidRDefault="00395541" w:rsidP="0039554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 xml:space="preserve">Upowszechnianie cyfrowych kolekcji w Internecie (portale, interfejsy komunikacyjne, schematy 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metadanowe</w:t>
      </w:r>
      <w:proofErr w:type="spellEnd"/>
      <w:r w:rsidRPr="00313A21">
        <w:rPr>
          <w:rFonts w:asciiTheme="minorHAnsi" w:hAnsiTheme="minorHAnsi" w:cstheme="minorHAnsi"/>
          <w:sz w:val="21"/>
          <w:szCs w:val="21"/>
        </w:rPr>
        <w:t>, agregatory internetowe);</w:t>
      </w:r>
    </w:p>
    <w:p w14:paraId="336576C2" w14:textId="77777777" w:rsidR="00395541" w:rsidRPr="00313A21" w:rsidRDefault="00395541" w:rsidP="0039554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Dostępność treści cyfrowych dla os</w:t>
      </w:r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313A21">
        <w:rPr>
          <w:rFonts w:asciiTheme="minorHAnsi" w:hAnsiTheme="minorHAnsi" w:cstheme="minorHAnsi"/>
          <w:sz w:val="21"/>
          <w:szCs w:val="21"/>
        </w:rPr>
        <w:t>b z niepełnosprawnościami (WCAG 2.1);</w:t>
      </w:r>
    </w:p>
    <w:p w14:paraId="5689CD3D" w14:textId="77777777" w:rsidR="00395541" w:rsidRPr="00313A21" w:rsidRDefault="00395541" w:rsidP="0039554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Oprogramowanie dedykowane.</w:t>
      </w:r>
    </w:p>
    <w:p w14:paraId="7F93720D" w14:textId="77777777" w:rsidR="00395541" w:rsidRPr="00313A21" w:rsidRDefault="00395541" w:rsidP="00395541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313A21">
        <w:rPr>
          <w:rFonts w:cstheme="minorHAnsi"/>
          <w:b/>
          <w:bCs/>
          <w:sz w:val="21"/>
          <w:szCs w:val="21"/>
        </w:rPr>
        <w:t>Zakres konsultacji:</w:t>
      </w:r>
    </w:p>
    <w:p w14:paraId="568B5535" w14:textId="77777777" w:rsidR="00395541" w:rsidRPr="00313A21" w:rsidRDefault="00395541" w:rsidP="003955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313A21">
        <w:rPr>
          <w:rFonts w:asciiTheme="minorHAnsi" w:hAnsiTheme="minorHAnsi" w:cstheme="minorHAnsi"/>
          <w:sz w:val="21"/>
          <w:szCs w:val="21"/>
        </w:rPr>
        <w:t>Dob</w:t>
      </w:r>
      <w:proofErr w:type="spellEnd"/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313A21">
        <w:rPr>
          <w:rFonts w:asciiTheme="minorHAnsi" w:hAnsiTheme="minorHAnsi" w:cstheme="minorHAnsi"/>
          <w:sz w:val="21"/>
          <w:szCs w:val="21"/>
        </w:rPr>
        <w:t>r rozwiązań sprzętowych i programowych;</w:t>
      </w:r>
    </w:p>
    <w:p w14:paraId="3A50AF17" w14:textId="77777777" w:rsidR="00395541" w:rsidRPr="00313A21" w:rsidRDefault="00395541" w:rsidP="003955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Planowanie i koordynacja wdrożenia rozwiązań IT oraz digitalizacyjnych;</w:t>
      </w:r>
    </w:p>
    <w:p w14:paraId="4459E138" w14:textId="77777777" w:rsidR="00395541" w:rsidRPr="00313A21" w:rsidRDefault="00395541" w:rsidP="003955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Planowanie i koordynacja procesu digitalizacji wraz z kontrolą jakości plik</w:t>
      </w:r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313A21">
        <w:rPr>
          <w:rFonts w:asciiTheme="minorHAnsi" w:hAnsiTheme="minorHAnsi" w:cstheme="minorHAnsi"/>
          <w:sz w:val="21"/>
          <w:szCs w:val="21"/>
        </w:rPr>
        <w:t>w wynikowych;</w:t>
      </w:r>
    </w:p>
    <w:p w14:paraId="4721EF58" w14:textId="77777777" w:rsidR="00395541" w:rsidRPr="00313A21" w:rsidRDefault="00395541" w:rsidP="003955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Planowanie funkcjonalności portali i oprogramowania dedykowanego;</w:t>
      </w:r>
    </w:p>
    <w:p w14:paraId="7BE7E02D" w14:textId="77777777" w:rsidR="00395541" w:rsidRPr="00313A21" w:rsidRDefault="00395541" w:rsidP="003955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 xml:space="preserve">Przygotowanie opisu przedmiotu 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zam</w:t>
      </w:r>
      <w:proofErr w:type="spellEnd"/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proofErr w:type="spellStart"/>
      <w:r w:rsidRPr="00313A21">
        <w:rPr>
          <w:rFonts w:asciiTheme="minorHAnsi" w:hAnsiTheme="minorHAnsi" w:cstheme="minorHAnsi"/>
          <w:sz w:val="21"/>
          <w:szCs w:val="21"/>
        </w:rPr>
        <w:t>wienia</w:t>
      </w:r>
      <w:proofErr w:type="spellEnd"/>
      <w:r w:rsidRPr="00313A21">
        <w:rPr>
          <w:rFonts w:asciiTheme="minorHAnsi" w:hAnsiTheme="minorHAnsi" w:cstheme="minorHAnsi"/>
          <w:sz w:val="21"/>
          <w:szCs w:val="21"/>
        </w:rPr>
        <w:t xml:space="preserve"> (OPZ);</w:t>
      </w:r>
    </w:p>
    <w:p w14:paraId="09901D0E" w14:textId="77777777" w:rsidR="00395541" w:rsidRPr="00313A21" w:rsidRDefault="00395541" w:rsidP="003955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Konsultacje przy sporządzaniu dokumentacji przetargowej: SIWZ, zapisy umowy, kryteria</w:t>
      </w:r>
    </w:p>
    <w:p w14:paraId="78B75B8E" w14:textId="77777777" w:rsidR="00395541" w:rsidRPr="00313A21" w:rsidRDefault="00395541" w:rsidP="00395541">
      <w:pPr>
        <w:pStyle w:val="Akapitzlist"/>
        <w:spacing w:line="276" w:lineRule="auto"/>
        <w:ind w:hanging="360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 xml:space="preserve">         oceny ofert, warunki udziału;</w:t>
      </w:r>
    </w:p>
    <w:p w14:paraId="2D403CA4" w14:textId="77777777" w:rsidR="00395541" w:rsidRPr="00313A21" w:rsidRDefault="00395541" w:rsidP="003955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Ocena ofert, udział w pracach komisji przetargowych;</w:t>
      </w:r>
    </w:p>
    <w:p w14:paraId="14632258" w14:textId="77777777" w:rsidR="00395541" w:rsidRPr="00313A21" w:rsidRDefault="00395541" w:rsidP="003955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Konsultacje, udział w pracach odbiorowych, ocena dokumentacji;</w:t>
      </w:r>
    </w:p>
    <w:p w14:paraId="3A293760" w14:textId="77777777" w:rsidR="00395541" w:rsidRPr="00313A21" w:rsidRDefault="00395541" w:rsidP="003955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Udział w kontrolach prowadzonych przez organy zewnętrzne w siedzibie Beneficjenta;</w:t>
      </w:r>
    </w:p>
    <w:p w14:paraId="6550DF77" w14:textId="67039FBB" w:rsidR="009373F3" w:rsidRDefault="00395541" w:rsidP="003370E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13A21">
        <w:rPr>
          <w:rFonts w:asciiTheme="minorHAnsi" w:hAnsiTheme="minorHAnsi" w:cstheme="minorHAnsi"/>
          <w:sz w:val="21"/>
          <w:szCs w:val="21"/>
        </w:rPr>
        <w:t>Pomoc w przygotowywaniu kwartalnych raport</w:t>
      </w:r>
      <w:r w:rsidRPr="00313A21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313A21">
        <w:rPr>
          <w:rFonts w:asciiTheme="minorHAnsi" w:hAnsiTheme="minorHAnsi" w:cstheme="minorHAnsi"/>
          <w:sz w:val="21"/>
          <w:szCs w:val="21"/>
        </w:rPr>
        <w:t>w.</w:t>
      </w:r>
    </w:p>
    <w:p w14:paraId="1113A40D" w14:textId="503D9035" w:rsidR="003370E8" w:rsidRDefault="003370E8" w:rsidP="003370E8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5D0A3DA8" w14:textId="392C66D4" w:rsidR="003370E8" w:rsidRPr="003370E8" w:rsidRDefault="003370E8" w:rsidP="003370E8">
      <w:pPr>
        <w:spacing w:line="276" w:lineRule="auto"/>
        <w:jc w:val="both"/>
        <w:rPr>
          <w:rFonts w:cstheme="minorHAnsi"/>
          <w:sz w:val="21"/>
          <w:szCs w:val="21"/>
        </w:rPr>
      </w:pPr>
    </w:p>
    <w:sectPr w:rsidR="003370E8" w:rsidRPr="003370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E7385" w14:textId="77777777" w:rsidR="000E54A2" w:rsidRDefault="000E54A2" w:rsidP="00127219">
      <w:pPr>
        <w:spacing w:after="0" w:line="240" w:lineRule="auto"/>
      </w:pPr>
      <w:r>
        <w:separator/>
      </w:r>
    </w:p>
  </w:endnote>
  <w:endnote w:type="continuationSeparator" w:id="0">
    <w:p w14:paraId="3453FA27" w14:textId="77777777" w:rsidR="000E54A2" w:rsidRDefault="000E54A2" w:rsidP="0012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BDE97" w14:textId="77777777" w:rsidR="00127219" w:rsidRDefault="001272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8B15D" w14:textId="77777777" w:rsidR="00127219" w:rsidRDefault="001272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027DB" w14:textId="77777777" w:rsidR="00127219" w:rsidRDefault="001272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4632F" w14:textId="77777777" w:rsidR="000E54A2" w:rsidRDefault="000E54A2" w:rsidP="00127219">
      <w:pPr>
        <w:spacing w:after="0" w:line="240" w:lineRule="auto"/>
      </w:pPr>
      <w:r>
        <w:separator/>
      </w:r>
    </w:p>
  </w:footnote>
  <w:footnote w:type="continuationSeparator" w:id="0">
    <w:p w14:paraId="61746D5F" w14:textId="77777777" w:rsidR="000E54A2" w:rsidRDefault="000E54A2" w:rsidP="0012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0BA46" w14:textId="77777777" w:rsidR="00127219" w:rsidRDefault="001272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E3793" w14:textId="3F7EBB9D" w:rsidR="00127219" w:rsidRDefault="00127219">
    <w:pPr>
      <w:pStyle w:val="Nagwek"/>
    </w:pPr>
    <w:bookmarkStart w:id="1" w:name="_GoBack"/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editId="178405B0">
          <wp:simplePos x="0" y="0"/>
          <wp:positionH relativeFrom="margin">
            <wp:align>center</wp:align>
          </wp:positionH>
          <wp:positionV relativeFrom="paragraph">
            <wp:posOffset>-564304</wp:posOffset>
          </wp:positionV>
          <wp:extent cx="3786505" cy="1004570"/>
          <wp:effectExtent l="0" t="0" r="4445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0CCE7" w14:textId="77777777" w:rsidR="00127219" w:rsidRDefault="001272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63B06"/>
    <w:multiLevelType w:val="hybridMultilevel"/>
    <w:tmpl w:val="5A421F7C"/>
    <w:lvl w:ilvl="0" w:tplc="CC92A3CC">
      <w:start w:val="1"/>
      <w:numFmt w:val="upperRoman"/>
      <w:lvlText w:val="%1."/>
      <w:lvlJc w:val="left"/>
      <w:pPr>
        <w:ind w:left="720" w:hanging="72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 w:tplc="5CE6745A">
      <w:start w:val="2"/>
      <w:numFmt w:val="upperRoman"/>
      <w:lvlText w:val="%2I."/>
      <w:lvlJc w:val="righ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21588"/>
    <w:multiLevelType w:val="multilevel"/>
    <w:tmpl w:val="7EF056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" w15:restartNumberingAfterBreak="0">
    <w:nsid w:val="52AC612E"/>
    <w:multiLevelType w:val="multilevel"/>
    <w:tmpl w:val="E85216A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3A1C18"/>
    <w:multiLevelType w:val="hybridMultilevel"/>
    <w:tmpl w:val="DE1C57F0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5B4E7C6B"/>
    <w:multiLevelType w:val="multilevel"/>
    <w:tmpl w:val="ABC646BA"/>
    <w:lvl w:ilvl="0">
      <w:start w:val="1"/>
      <w:numFmt w:val="decimal"/>
      <w:lvlText w:val="%1."/>
      <w:lvlJc w:val="left"/>
      <w:pPr>
        <w:ind w:left="786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108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180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25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324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86"/>
        </w:tabs>
        <w:ind w:left="396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468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86"/>
        </w:tabs>
        <w:ind w:left="540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86"/>
        </w:tabs>
        <w:ind w:left="61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5" w15:restartNumberingAfterBreak="0">
    <w:nsid w:val="6AFE53DA"/>
    <w:multiLevelType w:val="hybridMultilevel"/>
    <w:tmpl w:val="EEE0B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25F93"/>
    <w:multiLevelType w:val="multilevel"/>
    <w:tmpl w:val="8D3A5850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7" w15:restartNumberingAfterBreak="0">
    <w:nsid w:val="6FA8443B"/>
    <w:multiLevelType w:val="hybridMultilevel"/>
    <w:tmpl w:val="9D3C96DE"/>
    <w:styleLink w:val="Litery"/>
    <w:lvl w:ilvl="0" w:tplc="55CE48F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E8BDE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6B100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30A48A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50F1FC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4D466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BCC018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8203A8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02425C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64F12BE"/>
    <w:multiLevelType w:val="hybridMultilevel"/>
    <w:tmpl w:val="9D3C96DE"/>
    <w:numStyleLink w:val="Litery"/>
  </w:abstractNum>
  <w:abstractNum w:abstractNumId="9" w15:restartNumberingAfterBreak="0">
    <w:nsid w:val="78E5338F"/>
    <w:multiLevelType w:val="multilevel"/>
    <w:tmpl w:val="3530DCD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0" w15:restartNumberingAfterBreak="0">
    <w:nsid w:val="7B6A6713"/>
    <w:multiLevelType w:val="multilevel"/>
    <w:tmpl w:val="37729A7A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8"/>
    <w:lvlOverride w:ilvl="0">
      <w:startOverride w:val="1"/>
      <w:lvl w:ilvl="0" w:tplc="9514A7CC">
        <w:start w:val="1"/>
        <w:numFmt w:val="low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9964D94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2E299A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A88036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0E43C2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B64CE4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636F7F8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83CE1A2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CA293EC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  <w:num w:numId="8">
    <w:abstractNumId w:val="0"/>
    <w:lvlOverride w:ilvl="0">
      <w:startOverride w:val="4"/>
    </w:lvlOverride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41"/>
    <w:rsid w:val="000019E9"/>
    <w:rsid w:val="000E54A2"/>
    <w:rsid w:val="00127219"/>
    <w:rsid w:val="001E614A"/>
    <w:rsid w:val="003370E8"/>
    <w:rsid w:val="00395541"/>
    <w:rsid w:val="00817CB3"/>
    <w:rsid w:val="009373F3"/>
    <w:rsid w:val="00CC61E2"/>
    <w:rsid w:val="00D700DA"/>
    <w:rsid w:val="00D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690C8"/>
  <w15:chartTrackingRefBased/>
  <w15:docId w15:val="{CF3F9590-75E6-4D6C-8F60-00080248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zaproszenie"/>
    <w:basedOn w:val="Normalny"/>
    <w:next w:val="Normalny"/>
    <w:link w:val="Nagwek1Znak"/>
    <w:uiPriority w:val="9"/>
    <w:qFormat/>
    <w:rsid w:val="00DC0B9D"/>
    <w:pPr>
      <w:keepNext/>
      <w:keepLines/>
      <w:numPr>
        <w:numId w:val="7"/>
      </w:numPr>
      <w:spacing w:before="240" w:after="0" w:line="254" w:lineRule="auto"/>
      <w:ind w:hanging="360"/>
      <w:outlineLvl w:val="0"/>
    </w:pPr>
    <w:rPr>
      <w:rFonts w:ascii="Calibri" w:eastAsiaTheme="majorEastAsia" w:hAnsi="Calibri" w:cstheme="majorBidi"/>
      <w:b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4">
    <w:name w:val="Light List Accent 4"/>
    <w:basedOn w:val="Standardowy"/>
    <w:uiPriority w:val="61"/>
    <w:rsid w:val="000019E9"/>
    <w:pPr>
      <w:spacing w:after="0" w:line="240" w:lineRule="auto"/>
      <w:jc w:val="right"/>
    </w:pPr>
    <w:rPr>
      <w:rFonts w:ascii="Calibri Light" w:eastAsia="Calibri" w:hAnsi="Calibri Light" w:cs="Times New Roman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Theme="majorHAnsi" w:hAnsiTheme="majorHAnsi"/>
        <w:b/>
        <w:bCs/>
        <w:i w:val="0"/>
        <w:color w:val="A6A6A6" w:themeColor="background1" w:themeShade="A6"/>
        <w:sz w:val="22"/>
      </w:rPr>
      <w:tblPr/>
      <w:tcPr>
        <w:shd w:val="clear" w:color="auto" w:fill="F6EB0A"/>
      </w:tcPr>
    </w:tblStylePr>
    <w:tblStylePr w:type="lastRow">
      <w:pPr>
        <w:spacing w:before="0" w:after="0" w:line="240" w:lineRule="auto"/>
      </w:pPr>
      <w:rPr>
        <w:rFonts w:ascii="Calibri Light" w:hAnsi="Calibri Light"/>
        <w:b/>
        <w:bCs/>
        <w:sz w:val="22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jc w:val="left"/>
      </w:pPr>
      <w:rPr>
        <w:b w:val="0"/>
        <w:bCs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Akapitzlist">
    <w:name w:val="List Paragraph"/>
    <w:aliases w:val="List Paragraph in table,sw tekst,Lista - poziom 1"/>
    <w:link w:val="AkapitzlistZnak"/>
    <w:uiPriority w:val="34"/>
    <w:qFormat/>
    <w:rsid w:val="00395541"/>
    <w:pP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lang w:eastAsia="zh-CN" w:bidi="hi-IN"/>
    </w:rPr>
  </w:style>
  <w:style w:type="paragraph" w:styleId="Tekstkomentarza">
    <w:name w:val="annotation text"/>
    <w:link w:val="TekstkomentarzaZnak"/>
    <w:qFormat/>
    <w:rsid w:val="00395541"/>
    <w:pPr>
      <w:spacing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395541"/>
    <w:rPr>
      <w:rFonts w:ascii="Calibri" w:eastAsia="Arial Unicode MS" w:hAnsi="Calibri" w:cs="Arial Unicode MS"/>
      <w:color w:val="000000"/>
      <w:sz w:val="20"/>
      <w:szCs w:val="20"/>
      <w:u w:color="000000"/>
      <w:lang w:eastAsia="zh-CN" w:bidi="hi-IN"/>
    </w:rPr>
  </w:style>
  <w:style w:type="paragraph" w:customStyle="1" w:styleId="DomylneA">
    <w:name w:val="Domyślne A"/>
    <w:qFormat/>
    <w:rsid w:val="0039554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sid w:val="00817C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rsid w:val="00817CB3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1E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Nagłówek zaproszenie Znak"/>
    <w:basedOn w:val="Domylnaczcionkaakapitu"/>
    <w:link w:val="Nagwek1"/>
    <w:uiPriority w:val="9"/>
    <w:rsid w:val="00DC0B9D"/>
    <w:rPr>
      <w:rFonts w:ascii="Calibri" w:eastAsiaTheme="majorEastAsia" w:hAnsi="Calibri" w:cstheme="majorBidi"/>
      <w:b/>
      <w:szCs w:val="32"/>
      <w:lang w:eastAsia="pl-PL"/>
    </w:rPr>
  </w:style>
  <w:style w:type="character" w:customStyle="1" w:styleId="AkapitzlistZnak">
    <w:name w:val="Akapit z listą Znak"/>
    <w:aliases w:val="List Paragraph in table Znak,sw tekst Znak,Lista - poziom 1 Znak"/>
    <w:link w:val="Akapitzlist"/>
    <w:uiPriority w:val="34"/>
    <w:rsid w:val="00DC0B9D"/>
    <w:rPr>
      <w:rFonts w:ascii="Calibri" w:eastAsia="Arial Unicode MS" w:hAnsi="Calibri" w:cs="Arial Unicode MS"/>
      <w:color w:val="000000"/>
      <w:u w:color="00000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0B9D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0B9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C0B9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219"/>
  </w:style>
  <w:style w:type="paragraph" w:styleId="Stopka">
    <w:name w:val="footer"/>
    <w:basedOn w:val="Normalny"/>
    <w:link w:val="StopkaZnak"/>
    <w:uiPriority w:val="99"/>
    <w:unhideWhenUsed/>
    <w:rsid w:val="0012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doradcze-w-zakresie-zarzadzania-finansami-878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zwiazane-z-zarzadzaniem-879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uslugi-prawnicze-8717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Paćko</dc:creator>
  <cp:keywords/>
  <dc:description/>
  <cp:lastModifiedBy>Lucyna Kinecka</cp:lastModifiedBy>
  <cp:revision>5</cp:revision>
  <dcterms:created xsi:type="dcterms:W3CDTF">2020-08-04T08:25:00Z</dcterms:created>
  <dcterms:modified xsi:type="dcterms:W3CDTF">2020-08-24T08:47:00Z</dcterms:modified>
</cp:coreProperties>
</file>